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476" w:rsidRPr="00A94CB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w:t>
      </w:r>
      <w:r w:rsidRPr="00A94CB2">
        <w:rPr>
          <w:sz w:val="22"/>
          <w:szCs w:val="22"/>
        </w:rPr>
        <w:t xml:space="preserve">Operation Permit </w:t>
      </w:r>
      <w:r w:rsidR="0007172E" w:rsidRPr="00A94CB2">
        <w:rPr>
          <w:sz w:val="22"/>
          <w:szCs w:val="22"/>
        </w:rPr>
        <w:t>Renewal</w:t>
      </w:r>
    </w:p>
    <w:p w:rsidR="007F0476" w:rsidRPr="00A94CB2" w:rsidRDefault="0007172E" w:rsidP="007F0476">
      <w:pPr>
        <w:jc w:val="center"/>
        <w:rPr>
          <w:sz w:val="22"/>
          <w:szCs w:val="22"/>
        </w:rPr>
      </w:pPr>
      <w:r w:rsidRPr="00A94CB2">
        <w:rPr>
          <w:sz w:val="22"/>
          <w:szCs w:val="22"/>
        </w:rPr>
        <w:t>Permit No.</w:t>
      </w:r>
      <w:r w:rsidR="007F0476" w:rsidRPr="00A94CB2">
        <w:rPr>
          <w:sz w:val="22"/>
          <w:szCs w:val="22"/>
        </w:rPr>
        <w:t xml:space="preserve"> </w:t>
      </w:r>
      <w:r w:rsidR="00A94CB2" w:rsidRPr="00A94CB2">
        <w:rPr>
          <w:sz w:val="22"/>
          <w:szCs w:val="22"/>
        </w:rPr>
        <w:t>0850001</w:t>
      </w:r>
      <w:r w:rsidR="000B6156" w:rsidRPr="00A94CB2">
        <w:rPr>
          <w:sz w:val="22"/>
          <w:szCs w:val="22"/>
        </w:rPr>
        <w:t>-</w:t>
      </w:r>
      <w:r w:rsidR="00A94CB2" w:rsidRPr="00A94CB2">
        <w:rPr>
          <w:sz w:val="22"/>
          <w:szCs w:val="22"/>
        </w:rPr>
        <w:t>042</w:t>
      </w:r>
      <w:r w:rsidR="007F0476" w:rsidRPr="00A94CB2">
        <w:rPr>
          <w:sz w:val="22"/>
          <w:szCs w:val="22"/>
        </w:rPr>
        <w:t>-AV</w:t>
      </w:r>
    </w:p>
    <w:p w:rsidR="007F0476" w:rsidRDefault="007F0476" w:rsidP="004222B6">
      <w:pPr>
        <w:spacing w:before="120" w:after="120"/>
        <w:rPr>
          <w:b/>
          <w:caps/>
          <w:sz w:val="22"/>
          <w:szCs w:val="22"/>
        </w:rPr>
      </w:pPr>
      <w:r w:rsidRPr="00A94CB2">
        <w:rPr>
          <w:b/>
          <w:caps/>
          <w:sz w:val="22"/>
          <w:szCs w:val="22"/>
        </w:rPr>
        <w:t>Applicant</w:t>
      </w:r>
    </w:p>
    <w:p w:rsidR="007F0476" w:rsidRPr="007F0476" w:rsidRDefault="006F4B83" w:rsidP="004222B6">
      <w:pPr>
        <w:spacing w:before="120" w:after="120"/>
        <w:rPr>
          <w:sz w:val="22"/>
          <w:szCs w:val="22"/>
        </w:rPr>
      </w:pPr>
      <w:r w:rsidRPr="00EB663F">
        <w:rPr>
          <w:sz w:val="22"/>
          <w:szCs w:val="22"/>
        </w:rPr>
        <w:t xml:space="preserve">The applicant for this project is </w:t>
      </w:r>
      <w:r w:rsidR="00A94CB2" w:rsidRPr="00EB663F">
        <w:rPr>
          <w:sz w:val="22"/>
          <w:szCs w:val="22"/>
        </w:rPr>
        <w:t>Florida Power and Light Company</w:t>
      </w:r>
      <w:r w:rsidRPr="00EB663F">
        <w:rPr>
          <w:sz w:val="22"/>
          <w:szCs w:val="22"/>
        </w:rPr>
        <w:t xml:space="preserve">.  </w:t>
      </w:r>
      <w:r w:rsidR="00FD39C2" w:rsidRPr="00EB663F">
        <w:rPr>
          <w:sz w:val="22"/>
          <w:szCs w:val="22"/>
        </w:rPr>
        <w:t xml:space="preserve">The applicant’s responsible official and mailing address </w:t>
      </w:r>
      <w:r w:rsidR="00925043" w:rsidRPr="00EB663F">
        <w:rPr>
          <w:sz w:val="22"/>
          <w:szCs w:val="22"/>
        </w:rPr>
        <w:t>are</w:t>
      </w:r>
      <w:r w:rsidR="00FD39C2" w:rsidRPr="00EB663F">
        <w:rPr>
          <w:sz w:val="22"/>
          <w:szCs w:val="22"/>
        </w:rPr>
        <w:t xml:space="preserve">:  </w:t>
      </w:r>
      <w:r w:rsidR="00A94CB2" w:rsidRPr="00EB663F">
        <w:rPr>
          <w:sz w:val="22"/>
          <w:szCs w:val="22"/>
        </w:rPr>
        <w:t>Jeff Smith</w:t>
      </w:r>
      <w:r w:rsidR="00FD39C2" w:rsidRPr="00EB663F">
        <w:rPr>
          <w:sz w:val="22"/>
          <w:szCs w:val="22"/>
        </w:rPr>
        <w:t xml:space="preserve">, </w:t>
      </w:r>
      <w:r w:rsidR="00A94CB2" w:rsidRPr="00EB663F">
        <w:rPr>
          <w:sz w:val="22"/>
          <w:szCs w:val="22"/>
        </w:rPr>
        <w:t>Martin Plant Regional General Manager</w:t>
      </w:r>
      <w:r w:rsidR="00FD39C2" w:rsidRPr="00EB663F">
        <w:rPr>
          <w:sz w:val="22"/>
          <w:szCs w:val="22"/>
        </w:rPr>
        <w:t xml:space="preserve">, </w:t>
      </w:r>
      <w:r w:rsidR="00A94CB2" w:rsidRPr="00EB663F">
        <w:rPr>
          <w:sz w:val="22"/>
          <w:szCs w:val="22"/>
        </w:rPr>
        <w:t>Florida Power and Light Company</w:t>
      </w:r>
      <w:r w:rsidR="00FD39C2" w:rsidRPr="00EB663F">
        <w:rPr>
          <w:sz w:val="22"/>
          <w:szCs w:val="22"/>
        </w:rPr>
        <w:t xml:space="preserve">, </w:t>
      </w:r>
      <w:r w:rsidR="00A94CB2" w:rsidRPr="00EB663F">
        <w:rPr>
          <w:sz w:val="22"/>
          <w:szCs w:val="22"/>
        </w:rPr>
        <w:t>Martin Power Plant</w:t>
      </w:r>
      <w:r w:rsidR="00FD39C2" w:rsidRPr="00EB663F">
        <w:rPr>
          <w:sz w:val="22"/>
          <w:szCs w:val="22"/>
        </w:rPr>
        <w:t xml:space="preserve">, </w:t>
      </w:r>
      <w:r w:rsidR="00A94CB2" w:rsidRPr="00EB663F">
        <w:rPr>
          <w:sz w:val="22"/>
          <w:szCs w:val="22"/>
        </w:rPr>
        <w:t>21900 SW Warfield Blvd</w:t>
      </w:r>
      <w:r w:rsidR="00FD39C2" w:rsidRPr="00EB663F">
        <w:rPr>
          <w:sz w:val="22"/>
          <w:szCs w:val="22"/>
        </w:rPr>
        <w:t xml:space="preserve">, </w:t>
      </w:r>
      <w:r w:rsidR="00A94CB2" w:rsidRPr="00EB663F">
        <w:rPr>
          <w:sz w:val="22"/>
          <w:szCs w:val="22"/>
        </w:rPr>
        <w:t>Stuart</w:t>
      </w:r>
      <w:r w:rsidR="00FD39C2" w:rsidRPr="00EB663F">
        <w:rPr>
          <w:sz w:val="22"/>
          <w:szCs w:val="22"/>
        </w:rPr>
        <w:t xml:space="preserve">, </w:t>
      </w:r>
      <w:r w:rsidR="00A94CB2" w:rsidRPr="00EB663F">
        <w:rPr>
          <w:sz w:val="22"/>
          <w:szCs w:val="22"/>
        </w:rPr>
        <w:t>FL 34956</w:t>
      </w:r>
      <w:r w:rsidR="00FD39C2" w:rsidRPr="00EB663F">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EB663F" w:rsidRDefault="00EB663F" w:rsidP="00EB663F">
      <w:pPr>
        <w:spacing w:after="120"/>
        <w:rPr>
          <w:sz w:val="22"/>
          <w:szCs w:val="22"/>
        </w:rPr>
      </w:pPr>
      <w:r w:rsidRPr="001C0BA3">
        <w:rPr>
          <w:sz w:val="22"/>
          <w:szCs w:val="22"/>
        </w:rPr>
        <w:t>The applicant operates the existing Martin Power Plant, which is located in Martin County at 21900 SW Warfield Blvd, Indiantown, Florida.</w:t>
      </w:r>
    </w:p>
    <w:p w:rsidR="00EB663F" w:rsidRDefault="00EB663F" w:rsidP="00EB663F">
      <w:pPr>
        <w:spacing w:after="120"/>
        <w:rPr>
          <w:sz w:val="22"/>
          <w:szCs w:val="22"/>
        </w:rPr>
      </w:pPr>
      <w:r>
        <w:rPr>
          <w:sz w:val="22"/>
          <w:szCs w:val="22"/>
        </w:rPr>
        <w:t xml:space="preserve">The facility primarily consists of two natural gas and oil-fired steam electric generating units (Units 1 and 2), two pairs of oil and natural gas fired combined cycle combustion turbine (CCCT)-electrical generators (Units 3 and 4) with unfired heat recovery steam generators (HRSGs) and Unit 8, which is an arrangement of 4 CCCT-electrical generators, each with a gas-fired HRSG, that serve a single steam turbine-electrical generator.  Ancillary equipment includes one auxiliary boiler, emergency generators, four hurricane shelter stationary spark ignition, engine driven generators, two oil storage tanks, a mechanical cooling tower and four electrical fuel line heaters (to heat up the natural gas prior to introduction into the combustion turbines, when needed).  </w:t>
      </w:r>
    </w:p>
    <w:p w:rsidR="00EB663F" w:rsidRDefault="00EB663F" w:rsidP="00EB663F">
      <w:pPr>
        <w:spacing w:after="120"/>
        <w:rPr>
          <w:sz w:val="22"/>
          <w:szCs w:val="22"/>
        </w:rPr>
      </w:pPr>
      <w:r>
        <w:rPr>
          <w:sz w:val="22"/>
          <w:szCs w:val="22"/>
        </w:rPr>
        <w:t>Units 1 and 2 are identical fossil fuel-fired steam generators.  Each steam generator has a capacity of 863.3 megawatts (MW) and maximum heat input rates of 8,650 million Btu per hour (MMBtu</w:t>
      </w:r>
      <w:bookmarkStart w:id="0" w:name="_GoBack"/>
      <w:bookmarkEnd w:id="0"/>
      <w:r>
        <w:rPr>
          <w:sz w:val="22"/>
          <w:szCs w:val="22"/>
        </w:rPr>
        <w:t>/hr) while firing oil and 9,040 MMBtu/hr while firing natural gas.  Nitrogen oxide (NO</w:t>
      </w:r>
      <w:r>
        <w:rPr>
          <w:sz w:val="22"/>
          <w:szCs w:val="22"/>
          <w:vertAlign w:val="subscript"/>
        </w:rPr>
        <w:t>X</w:t>
      </w:r>
      <w:r>
        <w:rPr>
          <w:sz w:val="22"/>
          <w:szCs w:val="22"/>
        </w:rPr>
        <w:t>) emissions are controlled with low NO</w:t>
      </w:r>
      <w:r>
        <w:rPr>
          <w:sz w:val="22"/>
          <w:szCs w:val="22"/>
          <w:vertAlign w:val="subscript"/>
        </w:rPr>
        <w:t>X</w:t>
      </w:r>
      <w:r>
        <w:rPr>
          <w:sz w:val="22"/>
          <w:szCs w:val="22"/>
        </w:rPr>
        <w:t>, dual firing burners.  Particulate matter (PM) emissions are controlled with dry electrostatic precipitators (ESPs) with fly ash reinjection.  Sulfur dioxide (SO</w:t>
      </w:r>
      <w:r>
        <w:rPr>
          <w:sz w:val="22"/>
          <w:szCs w:val="22"/>
          <w:vertAlign w:val="subscript"/>
        </w:rPr>
        <w:t>2</w:t>
      </w:r>
      <w:r>
        <w:rPr>
          <w:sz w:val="22"/>
          <w:szCs w:val="22"/>
        </w:rPr>
        <w:t>) and NO</w:t>
      </w:r>
      <w:r>
        <w:rPr>
          <w:sz w:val="22"/>
          <w:szCs w:val="22"/>
          <w:vertAlign w:val="subscript"/>
        </w:rPr>
        <w:t>X</w:t>
      </w:r>
      <w:r>
        <w:rPr>
          <w:sz w:val="22"/>
          <w:szCs w:val="22"/>
        </w:rPr>
        <w:t xml:space="preserve"> emissions are monitored using a continuous emissions monitoring system (CEMS) and visible emissions are monitored with a continuous opacity monitoring system (COMS).  </w:t>
      </w:r>
    </w:p>
    <w:p w:rsidR="00EB663F" w:rsidRDefault="00EB663F" w:rsidP="00EB663F">
      <w:pPr>
        <w:spacing w:after="120"/>
        <w:rPr>
          <w:sz w:val="22"/>
          <w:szCs w:val="22"/>
        </w:rPr>
      </w:pPr>
      <w:r>
        <w:rPr>
          <w:sz w:val="22"/>
          <w:szCs w:val="22"/>
        </w:rPr>
        <w:t>Units 3 and 4 consist of four identical General Electric (GE) Model No. MS7001, Frame FA CCCTs.  Each unit consists of two CCCT-electrical generators, each with an unfired HRSG, coupled to a single steam turbine (2-on-1 set).  Each CCCT-electrical generator and steam turbine-electrical generator have nominal generating capacities of 170 MW and 160 MW, respectively, for a generating capacity of approximately 500 MW per unit (1000 MW total).  The maximum heat input rate of each CCCT is 1,966 MMBtu/hr while firing natural gas and 1,846 MMBtu/hr while firing fuel oil.  Each CCCT is equipped with inlet foggers at the compressor inlet to improve the power and heat rate of the CCCTs by providing cool, dense air at the inlet.  Dry low NO</w:t>
      </w:r>
      <w:r>
        <w:rPr>
          <w:sz w:val="22"/>
          <w:szCs w:val="22"/>
          <w:vertAlign w:val="subscript"/>
        </w:rPr>
        <w:t>X</w:t>
      </w:r>
      <w:r>
        <w:rPr>
          <w:sz w:val="22"/>
          <w:szCs w:val="22"/>
        </w:rPr>
        <w:t xml:space="preserve"> burners are used to control NO</w:t>
      </w:r>
      <w:r>
        <w:rPr>
          <w:sz w:val="22"/>
          <w:szCs w:val="22"/>
          <w:vertAlign w:val="subscript"/>
        </w:rPr>
        <w:t>X</w:t>
      </w:r>
      <w:r>
        <w:rPr>
          <w:sz w:val="22"/>
          <w:szCs w:val="22"/>
        </w:rPr>
        <w:t xml:space="preserve"> emissions.  Steam injection is used for power augmentation and NO</w:t>
      </w:r>
      <w:r>
        <w:rPr>
          <w:sz w:val="22"/>
          <w:szCs w:val="22"/>
          <w:vertAlign w:val="subscript"/>
        </w:rPr>
        <w:t>X</w:t>
      </w:r>
      <w:r>
        <w:rPr>
          <w:sz w:val="22"/>
          <w:szCs w:val="22"/>
        </w:rPr>
        <w:t xml:space="preserve"> control while firing fuel oil.  Duct modules are installed on each unit for the potential future installation of selective catalytic reduction (SCR) equipment for NO</w:t>
      </w:r>
      <w:r>
        <w:rPr>
          <w:sz w:val="22"/>
          <w:szCs w:val="22"/>
          <w:vertAlign w:val="subscript"/>
        </w:rPr>
        <w:t>X</w:t>
      </w:r>
      <w:r>
        <w:rPr>
          <w:sz w:val="22"/>
          <w:szCs w:val="22"/>
        </w:rPr>
        <w:t xml:space="preserve"> control.  SO</w:t>
      </w:r>
      <w:r>
        <w:rPr>
          <w:sz w:val="22"/>
          <w:szCs w:val="22"/>
          <w:vertAlign w:val="subscript"/>
        </w:rPr>
        <w:t>2</w:t>
      </w:r>
      <w:r>
        <w:rPr>
          <w:sz w:val="22"/>
          <w:szCs w:val="22"/>
        </w:rPr>
        <w:t xml:space="preserve"> emissions are controlled by firing pipeline natural gas and low sulfur fuel oil.  NO</w:t>
      </w:r>
      <w:r>
        <w:rPr>
          <w:sz w:val="22"/>
          <w:szCs w:val="22"/>
          <w:vertAlign w:val="subscript"/>
        </w:rPr>
        <w:t>X</w:t>
      </w:r>
      <w:r>
        <w:rPr>
          <w:sz w:val="22"/>
          <w:szCs w:val="22"/>
        </w:rPr>
        <w:t xml:space="preserve"> emissions are monitored using a CEMS.  </w:t>
      </w:r>
    </w:p>
    <w:p w:rsidR="00EB663F" w:rsidRDefault="00EB663F" w:rsidP="00EB663F">
      <w:pPr>
        <w:spacing w:after="120"/>
        <w:rPr>
          <w:sz w:val="22"/>
          <w:szCs w:val="22"/>
        </w:rPr>
      </w:pPr>
      <w:r>
        <w:rPr>
          <w:sz w:val="22"/>
          <w:szCs w:val="22"/>
        </w:rPr>
        <w:t xml:space="preserve">Unit 8 consists of four GE Model PG7241 Frame FA CCCT-electrical generators, each with a natural gas-fired HRSG, coupled to a single steam turbine-electrical generator (4-on-1 set).  Each CCCT-electrical generator has a nominal generating capacity of </w:t>
      </w:r>
      <w:r w:rsidR="001356F7">
        <w:rPr>
          <w:sz w:val="22"/>
          <w:szCs w:val="22"/>
        </w:rPr>
        <w:t>207.6</w:t>
      </w:r>
      <w:r>
        <w:rPr>
          <w:sz w:val="22"/>
          <w:szCs w:val="22"/>
        </w:rPr>
        <w:t xml:space="preserve"> MW.  The steam turbine-electrical generator has a nominal generating capacity of 470 MW, for a combined total of</w:t>
      </w:r>
      <w:r w:rsidR="001356F7">
        <w:rPr>
          <w:sz w:val="22"/>
          <w:szCs w:val="22"/>
        </w:rPr>
        <w:t xml:space="preserve"> approximately</w:t>
      </w:r>
      <w:r>
        <w:rPr>
          <w:sz w:val="22"/>
          <w:szCs w:val="22"/>
        </w:rPr>
        <w:t xml:space="preserve"> 1,</w:t>
      </w:r>
      <w:r w:rsidR="001356F7">
        <w:rPr>
          <w:sz w:val="22"/>
          <w:szCs w:val="22"/>
        </w:rPr>
        <w:t>300.4</w:t>
      </w:r>
      <w:r>
        <w:rPr>
          <w:sz w:val="22"/>
          <w:szCs w:val="22"/>
        </w:rPr>
        <w:t xml:space="preserve"> MW for Unit 8.  The maximum heat input rate of each CCCT is 1,660 MMBtu/hr while firing natural gas and 1,885 MMBtu/hr while firing distillate oil, based on a compressor inlet temperature of 59 degrees Fahrenheit, the lower heating value (LHV) of each fuel and 100% load.  Each HRSG has a maximum heat input rate of 495 MMBtu/hr, based on the LHV of natural gas.  Inlet fogging is used to provide evaporative cooling, reduce compressor inlet air temperature and provide additional direct power.</w:t>
      </w:r>
      <w:r w:rsidR="00FB4521">
        <w:rPr>
          <w:sz w:val="22"/>
          <w:szCs w:val="22"/>
        </w:rPr>
        <w:t xml:space="preserve">  </w:t>
      </w:r>
      <w:r w:rsidR="00FB4521" w:rsidRPr="00FB4521">
        <w:rPr>
          <w:sz w:val="22"/>
          <w:szCs w:val="22"/>
        </w:rPr>
        <w:t>There is also a solar thermal facility on-site that produces steam, which is used to augment the steam produced by the Unit 8 HRSGs, thus reducing fossil fuel use in the duct burners when adequate sunlight is available.</w:t>
      </w:r>
      <w:r w:rsidRPr="00FB4521">
        <w:rPr>
          <w:sz w:val="22"/>
          <w:szCs w:val="22"/>
        </w:rPr>
        <w:t xml:space="preserve">  NO</w:t>
      </w:r>
      <w:r w:rsidRPr="00FB4521">
        <w:rPr>
          <w:sz w:val="22"/>
          <w:szCs w:val="22"/>
          <w:vertAlign w:val="subscript"/>
        </w:rPr>
        <w:t>X</w:t>
      </w:r>
      <w:r w:rsidRPr="00FB4521">
        <w:rPr>
          <w:sz w:val="22"/>
          <w:szCs w:val="22"/>
        </w:rPr>
        <w:t xml:space="preserve"> emissions are controlled by</w:t>
      </w:r>
      <w:r>
        <w:rPr>
          <w:sz w:val="22"/>
          <w:szCs w:val="22"/>
        </w:rPr>
        <w:t xml:space="preserve"> a GE Dry Low NO</w:t>
      </w:r>
      <w:r>
        <w:rPr>
          <w:sz w:val="22"/>
          <w:szCs w:val="22"/>
          <w:vertAlign w:val="subscript"/>
        </w:rPr>
        <w:t>X</w:t>
      </w:r>
      <w:r>
        <w:rPr>
          <w:sz w:val="22"/>
          <w:szCs w:val="22"/>
        </w:rPr>
        <w:t xml:space="preserve"> 2.6 combustion system while firing natural gas and water injection while firing distillate oil.  SCR is used for NO</w:t>
      </w:r>
      <w:r>
        <w:rPr>
          <w:sz w:val="22"/>
          <w:szCs w:val="22"/>
          <w:vertAlign w:val="subscript"/>
        </w:rPr>
        <w:t>X</w:t>
      </w:r>
      <w:r>
        <w:rPr>
          <w:sz w:val="22"/>
          <w:szCs w:val="22"/>
        </w:rPr>
        <w:t xml:space="preserve"> control while firing natural gas and distillate oil in combined cycle mode.  Carbon monoxide (CO) and volatile organic compound </w:t>
      </w:r>
      <w:r>
        <w:rPr>
          <w:sz w:val="22"/>
          <w:szCs w:val="22"/>
        </w:rPr>
        <w:lastRenderedPageBreak/>
        <w:t>emissions are controlled using high combustion temperature.  SO</w:t>
      </w:r>
      <w:r>
        <w:rPr>
          <w:sz w:val="22"/>
          <w:szCs w:val="22"/>
          <w:vertAlign w:val="subscript"/>
        </w:rPr>
        <w:t>2</w:t>
      </w:r>
      <w:r>
        <w:rPr>
          <w:sz w:val="22"/>
          <w:szCs w:val="22"/>
        </w:rPr>
        <w:t xml:space="preserve"> and sulfuric acid mist are controlled by only firing low sulfur fuel oil and natural gas.  CO and NO</w:t>
      </w:r>
      <w:r>
        <w:rPr>
          <w:sz w:val="22"/>
          <w:szCs w:val="22"/>
          <w:vertAlign w:val="subscript"/>
        </w:rPr>
        <w:t>X</w:t>
      </w:r>
      <w:r>
        <w:rPr>
          <w:sz w:val="22"/>
          <w:szCs w:val="22"/>
        </w:rPr>
        <w:t xml:space="preserve"> emissions are monitored using a CEMS.  </w:t>
      </w:r>
    </w:p>
    <w:p w:rsidR="00EB663F" w:rsidRPr="00215555" w:rsidRDefault="00EB663F" w:rsidP="00EB663F">
      <w:pPr>
        <w:spacing w:after="120"/>
        <w:rPr>
          <w:sz w:val="22"/>
          <w:szCs w:val="22"/>
        </w:rPr>
      </w:pPr>
      <w:r>
        <w:rPr>
          <w:sz w:val="22"/>
          <w:szCs w:val="22"/>
        </w:rPr>
        <w:t>The auxiliary boiler consists of a Vapor Circulatic Model VG-5907-SHK-350 natural gas fired boiler.  The boiler produces steam to actuate the steam seals on the steam turbine components for Units 3 and 4 during cold starts when steam is not available for this purpose.  The maximum heat input rate of this unit is 13.23 MMBtu/hr, which is the combined heat input of the boiler (11.73 MMBtu/hr) and super heater (1.5 MMBtu/hr), while firing natural gas.  PM and SO</w:t>
      </w:r>
      <w:r>
        <w:rPr>
          <w:sz w:val="22"/>
          <w:szCs w:val="22"/>
          <w:vertAlign w:val="subscript"/>
        </w:rPr>
        <w:t>2</w:t>
      </w:r>
      <w:r>
        <w:rPr>
          <w:sz w:val="22"/>
          <w:szCs w:val="22"/>
        </w:rPr>
        <w:t xml:space="preserve"> emissions are controlled by only firing natural gas.  Operation of this unit is limited to operation only during startup and shutdown of Units 3 and 4 and periodic maintenance testing.  </w:t>
      </w:r>
    </w:p>
    <w:p w:rsidR="00716246" w:rsidRDefault="00EB663F" w:rsidP="00EB663F">
      <w:pPr>
        <w:spacing w:after="120"/>
        <w:rPr>
          <w:sz w:val="22"/>
          <w:szCs w:val="22"/>
        </w:rPr>
      </w:pPr>
      <w:r w:rsidRPr="00434CC8">
        <w:rPr>
          <w:sz w:val="22"/>
          <w:szCs w:val="22"/>
        </w:rPr>
        <w:t>This facility also includes miscellaneous unregulated/insignificant emissions units and/or activities.</w:t>
      </w:r>
    </w:p>
    <w:p w:rsidR="00F4449C" w:rsidRPr="001356F7" w:rsidRDefault="00F4449C" w:rsidP="00F4449C">
      <w:pPr>
        <w:spacing w:before="120" w:after="120"/>
        <w:rPr>
          <w:b/>
          <w:caps/>
          <w:sz w:val="22"/>
          <w:szCs w:val="22"/>
        </w:rPr>
      </w:pPr>
      <w:r w:rsidRPr="001356F7">
        <w:rPr>
          <w:b/>
          <w:caps/>
          <w:sz w:val="22"/>
          <w:szCs w:val="22"/>
        </w:rPr>
        <w:t>regulated Emissions Unit IDentification Numbers and descriptions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1356F7" w:rsidRPr="001356F7" w:rsidTr="00C73FF4">
        <w:trPr>
          <w:tblHeader/>
        </w:trPr>
        <w:tc>
          <w:tcPr>
            <w:tcW w:w="1016" w:type="dxa"/>
            <w:tcBorders>
              <w:top w:val="single" w:sz="12" w:space="0" w:color="auto"/>
              <w:bottom w:val="single" w:sz="12" w:space="0" w:color="auto"/>
            </w:tcBorders>
          </w:tcPr>
          <w:p w:rsidR="001356F7" w:rsidRPr="001356F7" w:rsidRDefault="001356F7" w:rsidP="001356F7">
            <w:pPr>
              <w:jc w:val="center"/>
              <w:rPr>
                <w:b/>
                <w:sz w:val="22"/>
              </w:rPr>
            </w:pPr>
            <w:r w:rsidRPr="001356F7">
              <w:rPr>
                <w:b/>
                <w:sz w:val="22"/>
              </w:rPr>
              <w:t>EU No.</w:t>
            </w:r>
          </w:p>
        </w:tc>
        <w:tc>
          <w:tcPr>
            <w:tcW w:w="8938" w:type="dxa"/>
            <w:tcBorders>
              <w:top w:val="single" w:sz="12" w:space="0" w:color="auto"/>
              <w:bottom w:val="single" w:sz="12" w:space="0" w:color="auto"/>
            </w:tcBorders>
          </w:tcPr>
          <w:p w:rsidR="001356F7" w:rsidRPr="001356F7" w:rsidRDefault="001356F7" w:rsidP="001356F7">
            <w:pPr>
              <w:keepNext/>
              <w:outlineLvl w:val="1"/>
              <w:rPr>
                <w:b/>
              </w:rPr>
            </w:pPr>
            <w:r w:rsidRPr="001356F7">
              <w:rPr>
                <w:b/>
              </w:rPr>
              <w:t>Brief Description</w:t>
            </w:r>
          </w:p>
        </w:tc>
      </w:tr>
      <w:tr w:rsidR="001356F7" w:rsidRPr="001356F7" w:rsidTr="00C73FF4">
        <w:trPr>
          <w:tblHeader/>
        </w:trPr>
        <w:tc>
          <w:tcPr>
            <w:tcW w:w="9954" w:type="dxa"/>
            <w:gridSpan w:val="2"/>
            <w:tcBorders>
              <w:top w:val="single" w:sz="12" w:space="0" w:color="auto"/>
            </w:tcBorders>
          </w:tcPr>
          <w:p w:rsidR="001356F7" w:rsidRPr="001356F7" w:rsidRDefault="001356F7" w:rsidP="001356F7">
            <w:pPr>
              <w:rPr>
                <w:i/>
                <w:sz w:val="22"/>
              </w:rPr>
            </w:pPr>
            <w:r w:rsidRPr="001356F7">
              <w:rPr>
                <w:i/>
                <w:sz w:val="22"/>
              </w:rPr>
              <w:t>Regulated Emissions Units</w:t>
            </w:r>
          </w:p>
        </w:tc>
      </w:tr>
      <w:tr w:rsidR="001356F7" w:rsidRPr="001356F7" w:rsidTr="00C73FF4">
        <w:tc>
          <w:tcPr>
            <w:tcW w:w="1016" w:type="dxa"/>
          </w:tcPr>
          <w:p w:rsidR="001356F7" w:rsidRPr="001356F7" w:rsidRDefault="001356F7" w:rsidP="001356F7">
            <w:pPr>
              <w:jc w:val="center"/>
              <w:rPr>
                <w:sz w:val="22"/>
              </w:rPr>
            </w:pPr>
            <w:r w:rsidRPr="001356F7">
              <w:rPr>
                <w:sz w:val="22"/>
              </w:rPr>
              <w:t>001</w:t>
            </w:r>
          </w:p>
        </w:tc>
        <w:tc>
          <w:tcPr>
            <w:tcW w:w="8938" w:type="dxa"/>
          </w:tcPr>
          <w:p w:rsidR="001356F7" w:rsidRPr="001356F7" w:rsidRDefault="001356F7" w:rsidP="001356F7">
            <w:pPr>
              <w:rPr>
                <w:sz w:val="22"/>
              </w:rPr>
            </w:pPr>
            <w:r w:rsidRPr="001356F7">
              <w:rPr>
                <w:sz w:val="22"/>
                <w:szCs w:val="22"/>
              </w:rPr>
              <w:t>Fossil Fuel Fired Steam Generator No. 1</w:t>
            </w:r>
          </w:p>
        </w:tc>
      </w:tr>
      <w:tr w:rsidR="001356F7" w:rsidRPr="001356F7" w:rsidTr="00C73FF4">
        <w:tc>
          <w:tcPr>
            <w:tcW w:w="1016" w:type="dxa"/>
          </w:tcPr>
          <w:p w:rsidR="001356F7" w:rsidRPr="001356F7" w:rsidRDefault="001356F7" w:rsidP="001356F7">
            <w:pPr>
              <w:jc w:val="center"/>
              <w:rPr>
                <w:sz w:val="22"/>
              </w:rPr>
            </w:pPr>
            <w:r w:rsidRPr="001356F7">
              <w:rPr>
                <w:sz w:val="22"/>
              </w:rPr>
              <w:t>002</w:t>
            </w:r>
          </w:p>
        </w:tc>
        <w:tc>
          <w:tcPr>
            <w:tcW w:w="8938" w:type="dxa"/>
          </w:tcPr>
          <w:p w:rsidR="001356F7" w:rsidRPr="001356F7" w:rsidRDefault="001356F7" w:rsidP="001356F7">
            <w:pPr>
              <w:rPr>
                <w:sz w:val="22"/>
              </w:rPr>
            </w:pPr>
            <w:r w:rsidRPr="001356F7">
              <w:rPr>
                <w:sz w:val="22"/>
                <w:szCs w:val="22"/>
              </w:rPr>
              <w:t>Fossil Fuel Fired Steam Generator No. 2</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003</w:t>
            </w:r>
          </w:p>
        </w:tc>
        <w:tc>
          <w:tcPr>
            <w:tcW w:w="8938" w:type="dxa"/>
            <w:tcBorders>
              <w:bottom w:val="single" w:sz="6" w:space="0" w:color="auto"/>
            </w:tcBorders>
          </w:tcPr>
          <w:p w:rsidR="001356F7" w:rsidRPr="001356F7" w:rsidRDefault="001356F7" w:rsidP="001356F7">
            <w:pPr>
              <w:rPr>
                <w:sz w:val="22"/>
              </w:rPr>
            </w:pPr>
            <w:r w:rsidRPr="001356F7">
              <w:rPr>
                <w:sz w:val="22"/>
                <w:szCs w:val="22"/>
              </w:rPr>
              <w:t>CT with HRSG (CT 3A)</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004</w:t>
            </w:r>
          </w:p>
        </w:tc>
        <w:tc>
          <w:tcPr>
            <w:tcW w:w="8938" w:type="dxa"/>
            <w:tcBorders>
              <w:bottom w:val="single" w:sz="6" w:space="0" w:color="auto"/>
            </w:tcBorders>
          </w:tcPr>
          <w:p w:rsidR="001356F7" w:rsidRPr="001356F7" w:rsidRDefault="001356F7" w:rsidP="001356F7">
            <w:pPr>
              <w:rPr>
                <w:sz w:val="22"/>
              </w:rPr>
            </w:pPr>
            <w:r w:rsidRPr="001356F7">
              <w:rPr>
                <w:sz w:val="22"/>
                <w:szCs w:val="22"/>
              </w:rPr>
              <w:t>CT with HRSG (CT 3B)</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005</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CT with HRSG (CT 4A)</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006</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CT with HRSG (CT 4B)</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011</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CT with HRSG (CT 8A)</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012</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CT with HRSG (CT 8B)</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014</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Two Distillate Oil Storage Tanks for Unit 8 Gas Turbines</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017</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CT with HRSG (CT 8C)</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018</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CT with HRSG (CT 8D)</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019</w:t>
            </w:r>
          </w:p>
        </w:tc>
        <w:tc>
          <w:tcPr>
            <w:tcW w:w="8938" w:type="dxa"/>
            <w:tcBorders>
              <w:bottom w:val="single" w:sz="6" w:space="0" w:color="auto"/>
            </w:tcBorders>
          </w:tcPr>
          <w:p w:rsidR="001356F7" w:rsidRPr="001356F7" w:rsidRDefault="001356F7" w:rsidP="001356F7">
            <w:pPr>
              <w:rPr>
                <w:sz w:val="22"/>
              </w:rPr>
            </w:pPr>
            <w:r w:rsidRPr="001356F7">
              <w:rPr>
                <w:sz w:val="22"/>
                <w:szCs w:val="22"/>
              </w:rPr>
              <w:t>Mechanical Draft Cooling Tower for Unit 8</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022</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One Diesel Engine-driven Emergency Fire Pump</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023</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Four Hurricane Emergency Shelter Stationary Spark Ignition Engines</w:t>
            </w:r>
          </w:p>
        </w:tc>
      </w:tr>
      <w:tr w:rsidR="001356F7" w:rsidRPr="001356F7" w:rsidTr="00C73FF4">
        <w:tc>
          <w:tcPr>
            <w:tcW w:w="1016" w:type="dxa"/>
            <w:tcBorders>
              <w:bottom w:val="single" w:sz="6" w:space="0" w:color="auto"/>
            </w:tcBorders>
          </w:tcPr>
          <w:p w:rsidR="001356F7" w:rsidRPr="001356F7" w:rsidRDefault="001356F7" w:rsidP="001356F7">
            <w:pPr>
              <w:jc w:val="center"/>
              <w:rPr>
                <w:sz w:val="22"/>
              </w:rPr>
            </w:pPr>
            <w:r w:rsidRPr="001356F7">
              <w:rPr>
                <w:sz w:val="22"/>
              </w:rPr>
              <w:t>024</w:t>
            </w:r>
          </w:p>
        </w:tc>
        <w:tc>
          <w:tcPr>
            <w:tcW w:w="8938" w:type="dxa"/>
            <w:tcBorders>
              <w:bottom w:val="single" w:sz="6" w:space="0" w:color="auto"/>
            </w:tcBorders>
            <w:vAlign w:val="center"/>
          </w:tcPr>
          <w:p w:rsidR="001356F7" w:rsidRPr="001356F7" w:rsidRDefault="001356F7" w:rsidP="001356F7">
            <w:pPr>
              <w:rPr>
                <w:sz w:val="22"/>
              </w:rPr>
            </w:pPr>
            <w:r w:rsidRPr="001356F7">
              <w:rPr>
                <w:sz w:val="22"/>
                <w:szCs w:val="22"/>
              </w:rPr>
              <w:t>One Spark Ignition Engine-driven Emergency Generator</w:t>
            </w:r>
          </w:p>
        </w:tc>
      </w:tr>
      <w:tr w:rsidR="001356F7" w:rsidRPr="001356F7" w:rsidTr="00C73FF4">
        <w:tc>
          <w:tcPr>
            <w:tcW w:w="1016" w:type="dxa"/>
            <w:tcBorders>
              <w:top w:val="single" w:sz="6" w:space="0" w:color="auto"/>
              <w:bottom w:val="single" w:sz="12" w:space="0" w:color="auto"/>
            </w:tcBorders>
          </w:tcPr>
          <w:p w:rsidR="001356F7" w:rsidRPr="001356F7" w:rsidRDefault="001356F7" w:rsidP="001356F7">
            <w:pPr>
              <w:jc w:val="center"/>
              <w:rPr>
                <w:sz w:val="22"/>
              </w:rPr>
            </w:pPr>
            <w:r w:rsidRPr="001356F7">
              <w:rPr>
                <w:sz w:val="22"/>
              </w:rPr>
              <w:t>026</w:t>
            </w:r>
          </w:p>
        </w:tc>
        <w:tc>
          <w:tcPr>
            <w:tcW w:w="8938" w:type="dxa"/>
            <w:tcBorders>
              <w:top w:val="single" w:sz="6" w:space="0" w:color="auto"/>
              <w:bottom w:val="single" w:sz="12" w:space="0" w:color="auto"/>
            </w:tcBorders>
            <w:vAlign w:val="center"/>
          </w:tcPr>
          <w:p w:rsidR="001356F7" w:rsidRPr="001356F7" w:rsidRDefault="001356F7" w:rsidP="001356F7">
            <w:pPr>
              <w:rPr>
                <w:sz w:val="22"/>
              </w:rPr>
            </w:pPr>
            <w:r w:rsidRPr="001356F7">
              <w:rPr>
                <w:sz w:val="22"/>
                <w:szCs w:val="22"/>
              </w:rPr>
              <w:t>New Auxiliary Boiler (for EU Nos. 003–006)</w:t>
            </w:r>
          </w:p>
        </w:tc>
      </w:tr>
    </w:tbl>
    <w:p w:rsidR="00F4449C" w:rsidRPr="00973148" w:rsidRDefault="00F4449C" w:rsidP="00F4449C">
      <w:pPr>
        <w:spacing w:before="120" w:after="120"/>
        <w:rPr>
          <w:b/>
          <w:caps/>
          <w:sz w:val="22"/>
          <w:szCs w:val="22"/>
        </w:rPr>
      </w:pPr>
      <w:r w:rsidRPr="00E60B1F">
        <w:rPr>
          <w:b/>
          <w:caps/>
          <w:sz w:val="22"/>
          <w:szCs w:val="22"/>
        </w:rPr>
        <w:t>Applicable Regulations</w:t>
      </w:r>
    </w:p>
    <w:p w:rsidR="00F4449C" w:rsidRPr="00C01B12" w:rsidRDefault="00F4449C" w:rsidP="00F4449C">
      <w:pPr>
        <w:pStyle w:val="BodyText3"/>
        <w:rPr>
          <w:sz w:val="22"/>
          <w:szCs w:val="22"/>
        </w:rPr>
      </w:pPr>
      <w:r w:rsidRPr="00FB4521">
        <w:rPr>
          <w:sz w:val="22"/>
          <w:szCs w:val="22"/>
        </w:rPr>
        <w:t xml:space="preserve">Based on the Title V air operation permit renewal application received on </w:t>
      </w:r>
      <w:r w:rsidR="00FB4521" w:rsidRPr="00FB4521">
        <w:rPr>
          <w:sz w:val="22"/>
          <w:szCs w:val="22"/>
        </w:rPr>
        <w:t>May 21, 2018</w:t>
      </w:r>
      <w:r w:rsidRPr="00FB4521">
        <w:rPr>
          <w:sz w:val="22"/>
          <w:szCs w:val="22"/>
        </w:rPr>
        <w:t>, this facility is a major source of hazardous air pollutants (HAP).  The existing facility is a prevention of significant deterioration (PSD) major source of air pollutants in accordance with Rule 62-212.400, F.A.C.  A summary of applicable regulations is shown in the following table:</w:t>
      </w:r>
      <w:r w:rsidRPr="00C01B12">
        <w:rPr>
          <w:sz w:val="22"/>
          <w:szCs w:val="22"/>
        </w:rPr>
        <w:t xml:space="preserv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113"/>
        <w:gridCol w:w="2877"/>
      </w:tblGrid>
      <w:tr w:rsidR="00F4449C" w:rsidRPr="00973148" w:rsidTr="00E60B1F">
        <w:trPr>
          <w:cantSplit/>
          <w:tblHeader/>
        </w:trPr>
        <w:tc>
          <w:tcPr>
            <w:tcW w:w="7113" w:type="dxa"/>
            <w:tcBorders>
              <w:top w:val="single" w:sz="12" w:space="0" w:color="auto"/>
              <w:bottom w:val="single" w:sz="12" w:space="0" w:color="auto"/>
            </w:tcBorders>
          </w:tcPr>
          <w:p w:rsidR="00F4449C" w:rsidRPr="00973148" w:rsidRDefault="00F4449C" w:rsidP="00C73FF4">
            <w:pPr>
              <w:jc w:val="center"/>
              <w:rPr>
                <w:b/>
                <w:color w:val="000000" w:themeColor="text1"/>
                <w:sz w:val="22"/>
                <w:szCs w:val="22"/>
              </w:rPr>
            </w:pPr>
            <w:bookmarkStart w:id="1" w:name="_Hlk519676537"/>
            <w:r w:rsidRPr="00973148">
              <w:rPr>
                <w:b/>
                <w:color w:val="000000" w:themeColor="text1"/>
                <w:sz w:val="22"/>
                <w:szCs w:val="22"/>
              </w:rPr>
              <w:t>Regulation</w:t>
            </w:r>
          </w:p>
        </w:tc>
        <w:tc>
          <w:tcPr>
            <w:tcW w:w="2877" w:type="dxa"/>
            <w:tcBorders>
              <w:top w:val="single" w:sz="12" w:space="0" w:color="auto"/>
              <w:bottom w:val="single" w:sz="12" w:space="0" w:color="auto"/>
            </w:tcBorders>
          </w:tcPr>
          <w:p w:rsidR="00F4449C" w:rsidRPr="00973148" w:rsidRDefault="00F4449C" w:rsidP="00C73FF4">
            <w:pPr>
              <w:jc w:val="center"/>
              <w:rPr>
                <w:color w:val="000000" w:themeColor="text1"/>
                <w:sz w:val="22"/>
                <w:szCs w:val="22"/>
              </w:rPr>
            </w:pPr>
            <w:r w:rsidRPr="00973148">
              <w:rPr>
                <w:b/>
                <w:color w:val="000000" w:themeColor="text1"/>
                <w:sz w:val="22"/>
                <w:szCs w:val="22"/>
              </w:rPr>
              <w:t>EU No(s).</w:t>
            </w:r>
          </w:p>
        </w:tc>
      </w:tr>
      <w:tr w:rsidR="00F4449C" w:rsidTr="00F4449C">
        <w:tc>
          <w:tcPr>
            <w:tcW w:w="9990" w:type="dxa"/>
            <w:gridSpan w:val="2"/>
            <w:tcBorders>
              <w:top w:val="single" w:sz="12" w:space="0" w:color="auto"/>
              <w:bottom w:val="single" w:sz="4" w:space="0" w:color="auto"/>
            </w:tcBorders>
          </w:tcPr>
          <w:p w:rsidR="00F4449C" w:rsidRPr="00B05E70" w:rsidRDefault="00F4449C" w:rsidP="00C73FF4">
            <w:pPr>
              <w:jc w:val="center"/>
            </w:pPr>
            <w:r w:rsidRPr="00115F13">
              <w:rPr>
                <w:i/>
              </w:rPr>
              <w:t>Federal Rule Citations</w:t>
            </w:r>
          </w:p>
        </w:tc>
      </w:tr>
      <w:tr w:rsidR="009537F6" w:rsidTr="00E60B1F">
        <w:tc>
          <w:tcPr>
            <w:tcW w:w="7113" w:type="dxa"/>
            <w:tcBorders>
              <w:top w:val="single" w:sz="4" w:space="0" w:color="auto"/>
            </w:tcBorders>
            <w:vAlign w:val="center"/>
          </w:tcPr>
          <w:p w:rsidR="009537F6" w:rsidRPr="00525CAE" w:rsidRDefault="009537F6" w:rsidP="009537F6">
            <w:pPr>
              <w:rPr>
                <w:highlight w:val="yellow"/>
              </w:rPr>
            </w:pPr>
            <w:r w:rsidRPr="00C16FF6">
              <w:rPr>
                <w:szCs w:val="22"/>
              </w:rPr>
              <w:t>40 CFR 60, Subpart A, NSPS General Provisions</w:t>
            </w:r>
          </w:p>
        </w:tc>
        <w:tc>
          <w:tcPr>
            <w:tcW w:w="2877" w:type="dxa"/>
            <w:tcBorders>
              <w:top w:val="single" w:sz="4" w:space="0" w:color="auto"/>
            </w:tcBorders>
            <w:vAlign w:val="center"/>
          </w:tcPr>
          <w:p w:rsidR="009537F6" w:rsidRPr="00B05E70" w:rsidRDefault="009537F6" w:rsidP="009537F6">
            <w:pPr>
              <w:jc w:val="center"/>
            </w:pPr>
            <w:r w:rsidRPr="0083300F">
              <w:rPr>
                <w:szCs w:val="22"/>
              </w:rPr>
              <w:t>001, 002, 003, 004, 005, 006, 007, 011, 012, 017, 018, 026</w:t>
            </w:r>
          </w:p>
        </w:tc>
      </w:tr>
      <w:tr w:rsidR="009537F6" w:rsidTr="00E60B1F">
        <w:tc>
          <w:tcPr>
            <w:tcW w:w="7113" w:type="dxa"/>
            <w:vAlign w:val="center"/>
          </w:tcPr>
          <w:p w:rsidR="009537F6" w:rsidRPr="00525CAE" w:rsidRDefault="009537F6" w:rsidP="009537F6">
            <w:pPr>
              <w:rPr>
                <w:highlight w:val="yellow"/>
              </w:rPr>
            </w:pPr>
            <w:r w:rsidRPr="00C16FF6">
              <w:rPr>
                <w:szCs w:val="22"/>
              </w:rPr>
              <w:t>40 CFR 60, Subpart D, Standards of Performance for Fossil-Fuel-Fired Steam Generators</w:t>
            </w:r>
          </w:p>
        </w:tc>
        <w:tc>
          <w:tcPr>
            <w:tcW w:w="2877" w:type="dxa"/>
            <w:vAlign w:val="center"/>
          </w:tcPr>
          <w:p w:rsidR="009537F6" w:rsidRPr="00EF1A9E" w:rsidRDefault="009537F6" w:rsidP="009537F6">
            <w:pPr>
              <w:jc w:val="center"/>
            </w:pPr>
            <w:r w:rsidRPr="00C16FF6">
              <w:rPr>
                <w:szCs w:val="22"/>
              </w:rPr>
              <w:t>001, 002</w:t>
            </w:r>
          </w:p>
        </w:tc>
      </w:tr>
      <w:tr w:rsidR="009537F6" w:rsidTr="00E60B1F">
        <w:tc>
          <w:tcPr>
            <w:tcW w:w="7113" w:type="dxa"/>
            <w:vAlign w:val="center"/>
          </w:tcPr>
          <w:p w:rsidR="009537F6" w:rsidRPr="00525CAE" w:rsidRDefault="009537F6" w:rsidP="009537F6">
            <w:pPr>
              <w:rPr>
                <w:highlight w:val="yellow"/>
              </w:rPr>
            </w:pPr>
            <w:r w:rsidRPr="00C16FF6">
              <w:rPr>
                <w:szCs w:val="22"/>
              </w:rPr>
              <w:t>40 CFR</w:t>
            </w:r>
            <w:r>
              <w:rPr>
                <w:szCs w:val="22"/>
              </w:rPr>
              <w:t xml:space="preserve"> 60</w:t>
            </w:r>
            <w:r w:rsidRPr="00C16FF6">
              <w:rPr>
                <w:szCs w:val="22"/>
              </w:rPr>
              <w:t>, Subpart Dc, Standards of Performance for Small Industrial-Commercial-Institutional Steam Generating Units</w:t>
            </w:r>
          </w:p>
        </w:tc>
        <w:tc>
          <w:tcPr>
            <w:tcW w:w="2877" w:type="dxa"/>
            <w:vAlign w:val="center"/>
          </w:tcPr>
          <w:p w:rsidR="009537F6" w:rsidRPr="00EF1A9E" w:rsidRDefault="009537F6" w:rsidP="009537F6">
            <w:pPr>
              <w:jc w:val="center"/>
            </w:pPr>
            <w:r w:rsidRPr="0083300F">
              <w:rPr>
                <w:szCs w:val="22"/>
              </w:rPr>
              <w:t>026</w:t>
            </w:r>
          </w:p>
        </w:tc>
      </w:tr>
      <w:tr w:rsidR="009537F6" w:rsidTr="00E60B1F">
        <w:tc>
          <w:tcPr>
            <w:tcW w:w="7113" w:type="dxa"/>
            <w:vAlign w:val="center"/>
          </w:tcPr>
          <w:p w:rsidR="009537F6" w:rsidRPr="00525CAE" w:rsidRDefault="009537F6" w:rsidP="009537F6">
            <w:pPr>
              <w:rPr>
                <w:highlight w:val="yellow"/>
              </w:rPr>
            </w:pPr>
            <w:r>
              <w:t>40 CFR 60, Subpart GG, Standards of Performance for Stationary Gas Turbines</w:t>
            </w:r>
          </w:p>
        </w:tc>
        <w:tc>
          <w:tcPr>
            <w:tcW w:w="2877" w:type="dxa"/>
            <w:vAlign w:val="center"/>
          </w:tcPr>
          <w:p w:rsidR="009537F6" w:rsidRPr="00EF1A9E" w:rsidRDefault="009537F6" w:rsidP="009537F6">
            <w:pPr>
              <w:jc w:val="center"/>
            </w:pPr>
            <w:r w:rsidRPr="00797A6B">
              <w:rPr>
                <w:szCs w:val="22"/>
              </w:rPr>
              <w:t>003, 004, 005, 006</w:t>
            </w:r>
          </w:p>
        </w:tc>
      </w:tr>
      <w:tr w:rsidR="009537F6" w:rsidTr="00E60B1F">
        <w:tc>
          <w:tcPr>
            <w:tcW w:w="7113" w:type="dxa"/>
            <w:vAlign w:val="center"/>
          </w:tcPr>
          <w:p w:rsidR="009537F6" w:rsidRPr="00525CAE" w:rsidRDefault="009537F6" w:rsidP="009537F6">
            <w:pPr>
              <w:rPr>
                <w:highlight w:val="yellow"/>
              </w:rPr>
            </w:pPr>
            <w:r w:rsidRPr="0083300F">
              <w:rPr>
                <w:szCs w:val="22"/>
              </w:rPr>
              <w:t>40 CFR 60, Subpart KKKK, Standards of Performance for Stationary Combustion Turbines</w:t>
            </w:r>
          </w:p>
        </w:tc>
        <w:tc>
          <w:tcPr>
            <w:tcW w:w="2877" w:type="dxa"/>
            <w:vAlign w:val="center"/>
          </w:tcPr>
          <w:p w:rsidR="009537F6" w:rsidRPr="00EF1A9E" w:rsidRDefault="009537F6" w:rsidP="009537F6">
            <w:pPr>
              <w:jc w:val="center"/>
            </w:pPr>
            <w:r w:rsidRPr="0083300F">
              <w:rPr>
                <w:szCs w:val="22"/>
              </w:rPr>
              <w:t>011, 012, 017, 018</w:t>
            </w:r>
          </w:p>
        </w:tc>
      </w:tr>
      <w:tr w:rsidR="009537F6" w:rsidTr="00E60B1F">
        <w:tc>
          <w:tcPr>
            <w:tcW w:w="7113" w:type="dxa"/>
            <w:tcBorders>
              <w:bottom w:val="single" w:sz="6" w:space="0" w:color="auto"/>
            </w:tcBorders>
            <w:vAlign w:val="center"/>
          </w:tcPr>
          <w:p w:rsidR="009537F6" w:rsidRPr="00525CAE" w:rsidRDefault="009537F6" w:rsidP="009537F6">
            <w:pPr>
              <w:rPr>
                <w:highlight w:val="yellow"/>
              </w:rPr>
            </w:pPr>
            <w:r w:rsidRPr="00F131AF">
              <w:rPr>
                <w:szCs w:val="22"/>
              </w:rPr>
              <w:t xml:space="preserve">40 CFR 60, Subpart IIII, </w:t>
            </w:r>
            <w:r>
              <w:rPr>
                <w:szCs w:val="22"/>
              </w:rPr>
              <w:t>Standards of Performance for Stationary Compression Ignition Internal Combustion Engines</w:t>
            </w:r>
          </w:p>
        </w:tc>
        <w:tc>
          <w:tcPr>
            <w:tcW w:w="2877" w:type="dxa"/>
            <w:tcBorders>
              <w:bottom w:val="single" w:sz="6" w:space="0" w:color="auto"/>
            </w:tcBorders>
            <w:vAlign w:val="center"/>
          </w:tcPr>
          <w:p w:rsidR="009537F6" w:rsidRPr="00EF1A9E" w:rsidRDefault="009537F6" w:rsidP="009537F6">
            <w:pPr>
              <w:jc w:val="center"/>
            </w:pPr>
            <w:r>
              <w:rPr>
                <w:szCs w:val="22"/>
              </w:rPr>
              <w:t>022</w:t>
            </w:r>
          </w:p>
        </w:tc>
      </w:tr>
      <w:tr w:rsidR="009537F6" w:rsidTr="00E60B1F">
        <w:tc>
          <w:tcPr>
            <w:tcW w:w="7113" w:type="dxa"/>
            <w:tcBorders>
              <w:bottom w:val="single" w:sz="6" w:space="0" w:color="auto"/>
            </w:tcBorders>
            <w:vAlign w:val="center"/>
          </w:tcPr>
          <w:p w:rsidR="009537F6" w:rsidRPr="006344CB" w:rsidRDefault="009537F6" w:rsidP="009537F6">
            <w:r w:rsidRPr="006344CB">
              <w:rPr>
                <w:szCs w:val="22"/>
              </w:rPr>
              <w:t xml:space="preserve">40 CFR 60, Subpart JJJJ, Standards of Performance for Stationary Spark Ignition Internal Combustion Engines </w:t>
            </w:r>
          </w:p>
        </w:tc>
        <w:tc>
          <w:tcPr>
            <w:tcW w:w="2877" w:type="dxa"/>
            <w:tcBorders>
              <w:bottom w:val="single" w:sz="6" w:space="0" w:color="auto"/>
            </w:tcBorders>
            <w:vAlign w:val="center"/>
          </w:tcPr>
          <w:p w:rsidR="009537F6" w:rsidRPr="00EF1A9E" w:rsidRDefault="009537F6" w:rsidP="009537F6">
            <w:pPr>
              <w:jc w:val="center"/>
            </w:pPr>
            <w:r w:rsidRPr="00C16FF6">
              <w:rPr>
                <w:szCs w:val="22"/>
              </w:rPr>
              <w:t>023, 024</w:t>
            </w:r>
          </w:p>
        </w:tc>
      </w:tr>
      <w:tr w:rsidR="009537F6" w:rsidTr="00E60B1F">
        <w:tc>
          <w:tcPr>
            <w:tcW w:w="7113" w:type="dxa"/>
            <w:tcBorders>
              <w:bottom w:val="single" w:sz="6" w:space="0" w:color="auto"/>
            </w:tcBorders>
          </w:tcPr>
          <w:p w:rsidR="009537F6" w:rsidRPr="006344CB" w:rsidRDefault="009537F6" w:rsidP="009537F6">
            <w:r w:rsidRPr="006344CB">
              <w:t>40 CFR 63, Subpart A, NESHAP General Provisions</w:t>
            </w:r>
          </w:p>
        </w:tc>
        <w:tc>
          <w:tcPr>
            <w:tcW w:w="2877" w:type="dxa"/>
            <w:tcBorders>
              <w:bottom w:val="single" w:sz="6" w:space="0" w:color="auto"/>
            </w:tcBorders>
            <w:vAlign w:val="center"/>
          </w:tcPr>
          <w:p w:rsidR="009537F6" w:rsidRPr="00EF1A9E" w:rsidRDefault="009537F6" w:rsidP="009537F6">
            <w:pPr>
              <w:jc w:val="center"/>
            </w:pPr>
            <w:r w:rsidRPr="0083300F">
              <w:rPr>
                <w:szCs w:val="22"/>
              </w:rPr>
              <w:t>001, 002, 022, 023, 024, 026</w:t>
            </w:r>
          </w:p>
        </w:tc>
      </w:tr>
      <w:tr w:rsidR="009537F6" w:rsidTr="00E60B1F">
        <w:tc>
          <w:tcPr>
            <w:tcW w:w="7113" w:type="dxa"/>
            <w:tcBorders>
              <w:bottom w:val="single" w:sz="6" w:space="0" w:color="auto"/>
            </w:tcBorders>
          </w:tcPr>
          <w:p w:rsidR="009537F6" w:rsidRPr="006344CB" w:rsidRDefault="009537F6" w:rsidP="009537F6">
            <w:r w:rsidRPr="006344CB">
              <w:t xml:space="preserve">40 CFR 63, Subpart ZZZZ, NESHAP for Stationary Reciprocating Internal Combustion Engines  </w:t>
            </w:r>
          </w:p>
        </w:tc>
        <w:tc>
          <w:tcPr>
            <w:tcW w:w="2877" w:type="dxa"/>
            <w:tcBorders>
              <w:bottom w:val="single" w:sz="6" w:space="0" w:color="auto"/>
            </w:tcBorders>
            <w:vAlign w:val="center"/>
          </w:tcPr>
          <w:p w:rsidR="009537F6" w:rsidRPr="00EF1A9E" w:rsidRDefault="009537F6" w:rsidP="009537F6">
            <w:pPr>
              <w:jc w:val="center"/>
            </w:pPr>
            <w:r w:rsidRPr="0083300F">
              <w:rPr>
                <w:szCs w:val="22"/>
              </w:rPr>
              <w:t>022, 023, 024</w:t>
            </w:r>
          </w:p>
        </w:tc>
      </w:tr>
      <w:tr w:rsidR="009537F6" w:rsidTr="00E60B1F">
        <w:tc>
          <w:tcPr>
            <w:tcW w:w="7113" w:type="dxa"/>
            <w:tcBorders>
              <w:bottom w:val="single" w:sz="6" w:space="0" w:color="auto"/>
            </w:tcBorders>
          </w:tcPr>
          <w:p w:rsidR="009537F6" w:rsidRPr="006344CB" w:rsidRDefault="009537F6" w:rsidP="009537F6">
            <w:r w:rsidRPr="006344CB">
              <w:t>40 CR 63, Subpart DDDDD, NESHAP for Major Sources:  Industrial, Commercial, and Institutional Boilers and Process Heaters</w:t>
            </w:r>
          </w:p>
        </w:tc>
        <w:tc>
          <w:tcPr>
            <w:tcW w:w="2877" w:type="dxa"/>
            <w:tcBorders>
              <w:bottom w:val="single" w:sz="6" w:space="0" w:color="auto"/>
            </w:tcBorders>
            <w:vAlign w:val="center"/>
          </w:tcPr>
          <w:p w:rsidR="009537F6" w:rsidRPr="00EF1A9E" w:rsidRDefault="009537F6" w:rsidP="009537F6">
            <w:pPr>
              <w:jc w:val="center"/>
            </w:pPr>
            <w:r>
              <w:rPr>
                <w:szCs w:val="22"/>
              </w:rPr>
              <w:t>026</w:t>
            </w:r>
          </w:p>
        </w:tc>
      </w:tr>
      <w:tr w:rsidR="009537F6" w:rsidTr="00E60B1F">
        <w:tc>
          <w:tcPr>
            <w:tcW w:w="7113" w:type="dxa"/>
            <w:tcBorders>
              <w:bottom w:val="single" w:sz="6" w:space="0" w:color="auto"/>
            </w:tcBorders>
          </w:tcPr>
          <w:p w:rsidR="009537F6" w:rsidRPr="006344CB" w:rsidRDefault="009537F6" w:rsidP="009537F6">
            <w:r w:rsidRPr="006344CB">
              <w:t>40 CFR 63, Subpart UUUUU, NESHAP:  Coal- and Oil-fired Electric Utility Steam Generating Units</w:t>
            </w:r>
          </w:p>
        </w:tc>
        <w:tc>
          <w:tcPr>
            <w:tcW w:w="2877" w:type="dxa"/>
            <w:tcBorders>
              <w:bottom w:val="single" w:sz="6" w:space="0" w:color="auto"/>
            </w:tcBorders>
            <w:vAlign w:val="center"/>
          </w:tcPr>
          <w:p w:rsidR="009537F6" w:rsidRPr="00EF1A9E" w:rsidRDefault="009537F6" w:rsidP="009537F6">
            <w:pPr>
              <w:jc w:val="center"/>
            </w:pPr>
            <w:r w:rsidRPr="00DD7EF4">
              <w:rPr>
                <w:szCs w:val="22"/>
              </w:rPr>
              <w:t>001, 002</w:t>
            </w:r>
          </w:p>
        </w:tc>
      </w:tr>
      <w:tr w:rsidR="009537F6" w:rsidTr="00E60B1F">
        <w:tc>
          <w:tcPr>
            <w:tcW w:w="7113" w:type="dxa"/>
            <w:tcBorders>
              <w:bottom w:val="single" w:sz="6" w:space="0" w:color="auto"/>
            </w:tcBorders>
          </w:tcPr>
          <w:p w:rsidR="009537F6" w:rsidRPr="006344CB" w:rsidRDefault="009537F6" w:rsidP="009537F6">
            <w:r w:rsidRPr="006344CB">
              <w:t>40 CFR 64, Compliance Assurance Monitoring (CAM)</w:t>
            </w:r>
          </w:p>
        </w:tc>
        <w:tc>
          <w:tcPr>
            <w:tcW w:w="2877" w:type="dxa"/>
            <w:tcBorders>
              <w:bottom w:val="single" w:sz="6" w:space="0" w:color="auto"/>
            </w:tcBorders>
            <w:vAlign w:val="center"/>
          </w:tcPr>
          <w:p w:rsidR="009537F6" w:rsidRPr="00EF1A9E" w:rsidRDefault="009537F6" w:rsidP="009537F6">
            <w:pPr>
              <w:jc w:val="center"/>
            </w:pPr>
            <w:r w:rsidRPr="00DD7EF4">
              <w:rPr>
                <w:szCs w:val="22"/>
              </w:rPr>
              <w:t>001, 002</w:t>
            </w:r>
          </w:p>
        </w:tc>
      </w:tr>
      <w:tr w:rsidR="009537F6" w:rsidTr="00E60B1F">
        <w:tc>
          <w:tcPr>
            <w:tcW w:w="7113" w:type="dxa"/>
            <w:tcBorders>
              <w:top w:val="single" w:sz="6" w:space="0" w:color="auto"/>
              <w:bottom w:val="single" w:sz="8" w:space="0" w:color="auto"/>
              <w:right w:val="single" w:sz="12" w:space="0" w:color="auto"/>
            </w:tcBorders>
            <w:vAlign w:val="center"/>
          </w:tcPr>
          <w:p w:rsidR="009537F6" w:rsidRPr="006344CB" w:rsidRDefault="009537F6" w:rsidP="009537F6">
            <w:r w:rsidRPr="006344CB">
              <w:t>40 CFR 75, Acid Rain Monitoring Provisions</w:t>
            </w:r>
          </w:p>
        </w:tc>
        <w:tc>
          <w:tcPr>
            <w:tcW w:w="2877" w:type="dxa"/>
            <w:tcBorders>
              <w:top w:val="single" w:sz="6" w:space="0" w:color="auto"/>
              <w:left w:val="single" w:sz="12" w:space="0" w:color="auto"/>
              <w:bottom w:val="single" w:sz="4" w:space="0" w:color="auto"/>
            </w:tcBorders>
            <w:vAlign w:val="center"/>
          </w:tcPr>
          <w:p w:rsidR="009537F6" w:rsidRPr="00EF1A9E" w:rsidRDefault="009537F6" w:rsidP="009537F6">
            <w:pPr>
              <w:jc w:val="center"/>
            </w:pPr>
            <w:r w:rsidRPr="00C16FF6">
              <w:rPr>
                <w:szCs w:val="22"/>
              </w:rPr>
              <w:t>001, 002, 003, 004, 005, 006, 011, 012, 017, 018</w:t>
            </w:r>
          </w:p>
        </w:tc>
      </w:tr>
      <w:tr w:rsidR="00E60B1F" w:rsidTr="00F4449C">
        <w:tc>
          <w:tcPr>
            <w:tcW w:w="9990" w:type="dxa"/>
            <w:gridSpan w:val="2"/>
            <w:tcBorders>
              <w:top w:val="single" w:sz="12" w:space="0" w:color="auto"/>
              <w:bottom w:val="single" w:sz="8" w:space="0" w:color="auto"/>
            </w:tcBorders>
          </w:tcPr>
          <w:p w:rsidR="00E60B1F" w:rsidRPr="00EF1A9E" w:rsidRDefault="00E60B1F" w:rsidP="00E60B1F">
            <w:pPr>
              <w:jc w:val="center"/>
            </w:pPr>
            <w:r>
              <w:rPr>
                <w:i/>
              </w:rPr>
              <w:t>State</w:t>
            </w:r>
            <w:r w:rsidRPr="00115F13">
              <w:rPr>
                <w:i/>
              </w:rPr>
              <w:t xml:space="preserve"> Rule Citations</w:t>
            </w:r>
          </w:p>
        </w:tc>
      </w:tr>
      <w:tr w:rsidR="009537F6" w:rsidTr="00C73FF4">
        <w:tc>
          <w:tcPr>
            <w:tcW w:w="7113" w:type="dxa"/>
            <w:tcBorders>
              <w:top w:val="single" w:sz="8" w:space="0" w:color="auto"/>
              <w:bottom w:val="single" w:sz="8" w:space="0" w:color="auto"/>
            </w:tcBorders>
            <w:vAlign w:val="center"/>
          </w:tcPr>
          <w:p w:rsidR="009537F6" w:rsidRPr="00525CAE" w:rsidRDefault="009537F6" w:rsidP="009537F6">
            <w:pPr>
              <w:rPr>
                <w:highlight w:val="yellow"/>
              </w:rPr>
            </w:pPr>
            <w:r w:rsidRPr="0083300F">
              <w:rPr>
                <w:szCs w:val="22"/>
              </w:rPr>
              <w:t>Chapter 62-4, F.A.C</w:t>
            </w:r>
            <w:r w:rsidRPr="009537F6">
              <w:rPr>
                <w:szCs w:val="22"/>
              </w:rPr>
              <w:t>. Permits</w:t>
            </w:r>
          </w:p>
        </w:tc>
        <w:tc>
          <w:tcPr>
            <w:tcW w:w="2877" w:type="dxa"/>
            <w:vMerge w:val="restart"/>
            <w:tcBorders>
              <w:top w:val="single" w:sz="8" w:space="0" w:color="auto"/>
            </w:tcBorders>
            <w:vAlign w:val="center"/>
          </w:tcPr>
          <w:p w:rsidR="009537F6" w:rsidRPr="00AD797E" w:rsidRDefault="009537F6" w:rsidP="009537F6">
            <w:pPr>
              <w:jc w:val="center"/>
            </w:pPr>
            <w:r w:rsidRPr="0083300F">
              <w:rPr>
                <w:szCs w:val="22"/>
              </w:rPr>
              <w:t>001, 002, 003, 004, 005, 006, 011, 012, 017, 018, 019, 026</w:t>
            </w:r>
          </w:p>
        </w:tc>
      </w:tr>
      <w:tr w:rsidR="009537F6" w:rsidTr="00C73FF4">
        <w:tc>
          <w:tcPr>
            <w:tcW w:w="7113" w:type="dxa"/>
            <w:tcBorders>
              <w:top w:val="single" w:sz="8" w:space="0" w:color="auto"/>
              <w:bottom w:val="single" w:sz="8" w:space="0" w:color="auto"/>
            </w:tcBorders>
            <w:vAlign w:val="center"/>
          </w:tcPr>
          <w:p w:rsidR="009537F6" w:rsidRPr="009537F6" w:rsidRDefault="009537F6" w:rsidP="009537F6">
            <w:r w:rsidRPr="009537F6">
              <w:rPr>
                <w:szCs w:val="22"/>
              </w:rPr>
              <w:t>Rule 62-204.800, F.A.C., Federal Regulations Adopted by Reference</w:t>
            </w:r>
          </w:p>
        </w:tc>
        <w:tc>
          <w:tcPr>
            <w:tcW w:w="2877" w:type="dxa"/>
            <w:vMerge/>
          </w:tcPr>
          <w:p w:rsidR="009537F6" w:rsidRPr="00AD797E" w:rsidRDefault="009537F6" w:rsidP="009537F6"/>
        </w:tc>
      </w:tr>
      <w:tr w:rsidR="009537F6" w:rsidTr="00C73FF4">
        <w:tc>
          <w:tcPr>
            <w:tcW w:w="7113" w:type="dxa"/>
            <w:tcBorders>
              <w:top w:val="single" w:sz="8" w:space="0" w:color="auto"/>
              <w:bottom w:val="single" w:sz="8" w:space="0" w:color="auto"/>
            </w:tcBorders>
            <w:vAlign w:val="center"/>
          </w:tcPr>
          <w:p w:rsidR="009537F6" w:rsidRPr="009537F6" w:rsidRDefault="009537F6" w:rsidP="009537F6">
            <w:r w:rsidRPr="009537F6">
              <w:rPr>
                <w:szCs w:val="22"/>
              </w:rPr>
              <w:t>Chapter 62-210, F.A.C., Stationary Sources – General Requirements</w:t>
            </w:r>
          </w:p>
        </w:tc>
        <w:tc>
          <w:tcPr>
            <w:tcW w:w="2877" w:type="dxa"/>
            <w:vMerge/>
          </w:tcPr>
          <w:p w:rsidR="009537F6" w:rsidRPr="00AD797E" w:rsidRDefault="009537F6" w:rsidP="009537F6"/>
        </w:tc>
      </w:tr>
      <w:tr w:rsidR="009537F6" w:rsidTr="009537F6">
        <w:tc>
          <w:tcPr>
            <w:tcW w:w="7113" w:type="dxa"/>
            <w:tcBorders>
              <w:top w:val="single" w:sz="8" w:space="0" w:color="auto"/>
              <w:bottom w:val="single" w:sz="8" w:space="0" w:color="auto"/>
            </w:tcBorders>
            <w:vAlign w:val="center"/>
          </w:tcPr>
          <w:p w:rsidR="009537F6" w:rsidRPr="009537F6" w:rsidRDefault="009537F6" w:rsidP="009537F6">
            <w:r w:rsidRPr="009537F6">
              <w:rPr>
                <w:szCs w:val="22"/>
              </w:rPr>
              <w:t>Chapter 62-212, F.A.C., Stationary Sources – Preconstruction Review</w:t>
            </w:r>
          </w:p>
        </w:tc>
        <w:tc>
          <w:tcPr>
            <w:tcW w:w="2877" w:type="dxa"/>
            <w:vAlign w:val="center"/>
          </w:tcPr>
          <w:p w:rsidR="009537F6" w:rsidRPr="009537F6" w:rsidRDefault="009537F6" w:rsidP="009537F6">
            <w:pPr>
              <w:jc w:val="center"/>
            </w:pPr>
            <w:r w:rsidRPr="009537F6">
              <w:rPr>
                <w:szCs w:val="22"/>
              </w:rPr>
              <w:t>003, 004, 005, 006, 011, 012, 014, 017, 018, 019, 026</w:t>
            </w:r>
          </w:p>
        </w:tc>
      </w:tr>
      <w:tr w:rsidR="009537F6" w:rsidTr="00C73FF4">
        <w:tc>
          <w:tcPr>
            <w:tcW w:w="7113" w:type="dxa"/>
            <w:tcBorders>
              <w:top w:val="single" w:sz="8" w:space="0" w:color="auto"/>
              <w:bottom w:val="single" w:sz="8" w:space="0" w:color="auto"/>
            </w:tcBorders>
            <w:vAlign w:val="center"/>
          </w:tcPr>
          <w:p w:rsidR="009537F6" w:rsidRPr="009537F6" w:rsidRDefault="009537F6" w:rsidP="009537F6">
            <w:r w:rsidRPr="009537F6">
              <w:rPr>
                <w:szCs w:val="22"/>
              </w:rPr>
              <w:t>Chapter 62-213, F.A.C.</w:t>
            </w:r>
            <w:r w:rsidR="00AB1D8A">
              <w:rPr>
                <w:szCs w:val="22"/>
              </w:rPr>
              <w:t>,</w:t>
            </w:r>
            <w:r w:rsidRPr="009537F6">
              <w:rPr>
                <w:szCs w:val="22"/>
              </w:rPr>
              <w:t xml:space="preserve"> Operation Permits for Major Sources of Air Pollution</w:t>
            </w:r>
          </w:p>
        </w:tc>
        <w:tc>
          <w:tcPr>
            <w:tcW w:w="2877" w:type="dxa"/>
            <w:tcBorders>
              <w:bottom w:val="single" w:sz="8" w:space="0" w:color="auto"/>
            </w:tcBorders>
          </w:tcPr>
          <w:p w:rsidR="009537F6" w:rsidRPr="009537F6" w:rsidRDefault="009537F6" w:rsidP="009537F6">
            <w:pPr>
              <w:jc w:val="center"/>
            </w:pPr>
            <w:r w:rsidRPr="009537F6">
              <w:rPr>
                <w:szCs w:val="22"/>
              </w:rPr>
              <w:t>001, 002, 003, 004, 005, 006, 009, 011, 012, 014, 015, 016, 017, 018, 019, 025, 026</w:t>
            </w:r>
          </w:p>
        </w:tc>
      </w:tr>
      <w:tr w:rsidR="009537F6" w:rsidTr="00C73FF4">
        <w:tc>
          <w:tcPr>
            <w:tcW w:w="7113" w:type="dxa"/>
            <w:tcBorders>
              <w:top w:val="single" w:sz="8" w:space="0" w:color="auto"/>
              <w:bottom w:val="single" w:sz="8" w:space="0" w:color="auto"/>
            </w:tcBorders>
            <w:vAlign w:val="center"/>
          </w:tcPr>
          <w:p w:rsidR="009537F6" w:rsidRDefault="009537F6" w:rsidP="009537F6">
            <w:r w:rsidRPr="0083300F">
              <w:rPr>
                <w:szCs w:val="22"/>
              </w:rPr>
              <w:t>Chapter 62-214, F.A.C.</w:t>
            </w:r>
            <w:r w:rsidR="00AB1D8A">
              <w:rPr>
                <w:szCs w:val="22"/>
              </w:rPr>
              <w:t xml:space="preserve">, </w:t>
            </w:r>
            <w:r w:rsidRPr="0083300F">
              <w:rPr>
                <w:color w:val="000000"/>
                <w:szCs w:val="22"/>
              </w:rPr>
              <w:t>Requirements For Sources Subject To The Federal Acid Rain Program</w:t>
            </w:r>
          </w:p>
        </w:tc>
        <w:tc>
          <w:tcPr>
            <w:tcW w:w="2877" w:type="dxa"/>
            <w:tcBorders>
              <w:top w:val="single" w:sz="8" w:space="0" w:color="auto"/>
              <w:bottom w:val="single" w:sz="8" w:space="0" w:color="auto"/>
            </w:tcBorders>
            <w:vAlign w:val="center"/>
          </w:tcPr>
          <w:p w:rsidR="009537F6" w:rsidRPr="00AD797E" w:rsidRDefault="009537F6" w:rsidP="009537F6">
            <w:pPr>
              <w:jc w:val="center"/>
            </w:pPr>
            <w:r w:rsidRPr="0083300F">
              <w:rPr>
                <w:szCs w:val="22"/>
              </w:rPr>
              <w:t>001, 002, 003, 004, 005, 006, 011, 012, 017, 018</w:t>
            </w:r>
          </w:p>
        </w:tc>
      </w:tr>
      <w:tr w:rsidR="009537F6" w:rsidTr="00C73FF4">
        <w:tc>
          <w:tcPr>
            <w:tcW w:w="7113" w:type="dxa"/>
            <w:tcBorders>
              <w:top w:val="single" w:sz="8" w:space="0" w:color="auto"/>
              <w:bottom w:val="single" w:sz="8" w:space="0" w:color="auto"/>
            </w:tcBorders>
            <w:vAlign w:val="center"/>
          </w:tcPr>
          <w:p w:rsidR="009537F6" w:rsidRPr="00517142" w:rsidRDefault="009537F6" w:rsidP="009537F6">
            <w:pPr>
              <w:rPr>
                <w:szCs w:val="22"/>
              </w:rPr>
            </w:pPr>
            <w:r w:rsidRPr="00517142">
              <w:rPr>
                <w:szCs w:val="22"/>
              </w:rPr>
              <w:t xml:space="preserve">Rule 62-296.405, F.A.C., </w:t>
            </w:r>
            <w:bookmarkStart w:id="2" w:name="_Hlk519694350"/>
            <w:r w:rsidRPr="00517142">
              <w:rPr>
                <w:szCs w:val="22"/>
              </w:rPr>
              <w:t>Fossil Fuel Steam Generators with More Than 250 Million Btu Per Hour Heat Input</w:t>
            </w:r>
            <w:bookmarkEnd w:id="2"/>
          </w:p>
        </w:tc>
        <w:tc>
          <w:tcPr>
            <w:tcW w:w="2877" w:type="dxa"/>
            <w:tcBorders>
              <w:top w:val="single" w:sz="8" w:space="0" w:color="auto"/>
              <w:bottom w:val="single" w:sz="8" w:space="0" w:color="auto"/>
            </w:tcBorders>
            <w:vAlign w:val="center"/>
          </w:tcPr>
          <w:p w:rsidR="009537F6" w:rsidRPr="00517142" w:rsidRDefault="009537F6" w:rsidP="009537F6">
            <w:pPr>
              <w:jc w:val="center"/>
            </w:pPr>
            <w:r w:rsidRPr="00517142">
              <w:t>001, 002</w:t>
            </w:r>
          </w:p>
        </w:tc>
      </w:tr>
      <w:tr w:rsidR="009537F6" w:rsidTr="00C73FF4">
        <w:tc>
          <w:tcPr>
            <w:tcW w:w="7113" w:type="dxa"/>
            <w:tcBorders>
              <w:top w:val="single" w:sz="8" w:space="0" w:color="auto"/>
              <w:bottom w:val="single" w:sz="8" w:space="0" w:color="auto"/>
            </w:tcBorders>
            <w:vAlign w:val="center"/>
          </w:tcPr>
          <w:p w:rsidR="009537F6" w:rsidRPr="00517142" w:rsidRDefault="009537F6" w:rsidP="009537F6">
            <w:pPr>
              <w:rPr>
                <w:szCs w:val="22"/>
              </w:rPr>
            </w:pPr>
            <w:r w:rsidRPr="00517142">
              <w:rPr>
                <w:szCs w:val="22"/>
              </w:rPr>
              <w:t>Rule 62-296.406, F.A.C., Fossil Fuel Steam Generators with Less Than 250 Million Btu Per Hour Heat Input, New and Existing Emissions Units</w:t>
            </w:r>
          </w:p>
        </w:tc>
        <w:tc>
          <w:tcPr>
            <w:tcW w:w="2877" w:type="dxa"/>
            <w:tcBorders>
              <w:top w:val="single" w:sz="8" w:space="0" w:color="auto"/>
              <w:bottom w:val="single" w:sz="8" w:space="0" w:color="auto"/>
            </w:tcBorders>
            <w:vAlign w:val="center"/>
          </w:tcPr>
          <w:p w:rsidR="009537F6" w:rsidRPr="00517142" w:rsidRDefault="009537F6" w:rsidP="009537F6">
            <w:pPr>
              <w:jc w:val="center"/>
            </w:pPr>
            <w:r w:rsidRPr="00517142">
              <w:t>026</w:t>
            </w:r>
          </w:p>
        </w:tc>
      </w:tr>
      <w:tr w:rsidR="009537F6" w:rsidTr="00C73FF4">
        <w:tc>
          <w:tcPr>
            <w:tcW w:w="7113" w:type="dxa"/>
            <w:tcBorders>
              <w:top w:val="single" w:sz="8" w:space="0" w:color="auto"/>
            </w:tcBorders>
            <w:vAlign w:val="center"/>
          </w:tcPr>
          <w:p w:rsidR="009537F6" w:rsidRDefault="009537F6" w:rsidP="009537F6">
            <w:r w:rsidRPr="0083300F">
              <w:rPr>
                <w:szCs w:val="22"/>
              </w:rPr>
              <w:t>Chapter 62-297, F.A.C. (Test Methods and Procedures, Continuous Monitoring Specifications, and Alternate Sampling Procedures)</w:t>
            </w:r>
          </w:p>
        </w:tc>
        <w:tc>
          <w:tcPr>
            <w:tcW w:w="2877" w:type="dxa"/>
            <w:tcBorders>
              <w:top w:val="single" w:sz="8" w:space="0" w:color="auto"/>
              <w:bottom w:val="single" w:sz="12" w:space="0" w:color="auto"/>
            </w:tcBorders>
          </w:tcPr>
          <w:p w:rsidR="009537F6" w:rsidRPr="00AD797E" w:rsidRDefault="009537F6" w:rsidP="009537F6">
            <w:pPr>
              <w:jc w:val="center"/>
            </w:pPr>
            <w:r w:rsidRPr="0083300F">
              <w:rPr>
                <w:szCs w:val="22"/>
              </w:rPr>
              <w:t>001, 002, 003, 004, 005, 006, 011, 012, 017, 018, 026</w:t>
            </w:r>
          </w:p>
        </w:tc>
      </w:tr>
    </w:tbl>
    <w:bookmarkEnd w:id="1"/>
    <w:p w:rsidR="00F4449C" w:rsidRPr="00770A31" w:rsidRDefault="00F4449C" w:rsidP="00F4449C">
      <w:pPr>
        <w:spacing w:before="120" w:after="120"/>
        <w:rPr>
          <w:sz w:val="22"/>
          <w:szCs w:val="22"/>
        </w:rPr>
      </w:pPr>
      <w:r w:rsidRPr="00AB1BD6">
        <w:rPr>
          <w:sz w:val="22"/>
          <w:szCs w:val="22"/>
        </w:rPr>
        <w:t>This facility also includes miscellaneous unregulated/insignificant emissions units and/or activities.</w:t>
      </w:r>
    </w:p>
    <w:p w:rsidR="00B46FEC" w:rsidRDefault="00B46FEC">
      <w:pPr>
        <w:rPr>
          <w:b/>
          <w:caps/>
          <w:sz w:val="22"/>
          <w:szCs w:val="22"/>
        </w:rPr>
      </w:pPr>
      <w:r>
        <w:rPr>
          <w:b/>
          <w:caps/>
          <w:sz w:val="22"/>
          <w:szCs w:val="22"/>
        </w:rPr>
        <w:br w:type="page"/>
      </w:r>
    </w:p>
    <w:p w:rsidR="000B6156" w:rsidRPr="00D10365" w:rsidRDefault="000B6156" w:rsidP="000B6156">
      <w:pPr>
        <w:spacing w:before="120" w:after="120"/>
        <w:rPr>
          <w:b/>
          <w:caps/>
          <w:sz w:val="22"/>
          <w:szCs w:val="22"/>
        </w:rPr>
      </w:pPr>
      <w:r>
        <w:rPr>
          <w:b/>
          <w:caps/>
          <w:sz w:val="22"/>
          <w:szCs w:val="22"/>
        </w:rPr>
        <w:t>Project DESCRIPTION</w:t>
      </w:r>
    </w:p>
    <w:p w:rsidR="000B6156" w:rsidRPr="00B46FEC" w:rsidRDefault="000B6156" w:rsidP="000B6156">
      <w:pPr>
        <w:spacing w:after="120"/>
        <w:rPr>
          <w:sz w:val="22"/>
          <w:szCs w:val="22"/>
        </w:rPr>
      </w:pPr>
      <w:r>
        <w:rPr>
          <w:sz w:val="22"/>
          <w:szCs w:val="22"/>
        </w:rPr>
        <w:t xml:space="preserve">The purpose of this permitting project is to </w:t>
      </w:r>
      <w:r w:rsidRPr="00B46FEC">
        <w:rPr>
          <w:sz w:val="22"/>
          <w:szCs w:val="22"/>
        </w:rPr>
        <w:t>renew the existing Title V permit for</w:t>
      </w:r>
      <w:r w:rsidR="005F49A2" w:rsidRPr="00B46FEC">
        <w:rPr>
          <w:sz w:val="22"/>
          <w:szCs w:val="22"/>
        </w:rPr>
        <w:t xml:space="preserve"> the above referenced facility</w:t>
      </w:r>
      <w:r w:rsidRPr="00B46FEC">
        <w:rPr>
          <w:sz w:val="22"/>
          <w:szCs w:val="22"/>
        </w:rPr>
        <w:t xml:space="preserve">.  </w:t>
      </w:r>
      <w:r w:rsidR="00B46FEC" w:rsidRPr="00B46FEC">
        <w:rPr>
          <w:sz w:val="22"/>
          <w:szCs w:val="22"/>
        </w:rPr>
        <w:t>The renewal incorporates changes made in concurrent Permit No. 0850001-041-AC/PSD-FL-146J and 327G, minor formatting changes, typographical error corrections and updates in rule applicability.</w:t>
      </w:r>
    </w:p>
    <w:p w:rsidR="00692F44" w:rsidRPr="00B46FEC" w:rsidRDefault="00692F44" w:rsidP="00692F44">
      <w:pPr>
        <w:spacing w:before="120" w:after="120"/>
        <w:rPr>
          <w:b/>
          <w:caps/>
          <w:sz w:val="22"/>
          <w:szCs w:val="22"/>
        </w:rPr>
      </w:pPr>
      <w:r w:rsidRPr="00B46FEC">
        <w:rPr>
          <w:b/>
          <w:caps/>
          <w:sz w:val="22"/>
          <w:szCs w:val="22"/>
        </w:rPr>
        <w:t>Processing Schedule and Related Documents</w:t>
      </w:r>
      <w:r w:rsidR="00A910E5" w:rsidRPr="00B46FEC">
        <w:rPr>
          <w:b/>
          <w:caps/>
          <w:sz w:val="22"/>
          <w:szCs w:val="22"/>
        </w:rPr>
        <w:t xml:space="preserve">  </w:t>
      </w:r>
    </w:p>
    <w:p w:rsidR="00692F44" w:rsidRPr="00B46FEC" w:rsidRDefault="00692F44" w:rsidP="00692F44">
      <w:pPr>
        <w:rPr>
          <w:sz w:val="22"/>
        </w:rPr>
      </w:pPr>
      <w:r w:rsidRPr="00B46FEC">
        <w:rPr>
          <w:sz w:val="22"/>
        </w:rPr>
        <w:t xml:space="preserve">Initial Title V Air Operation Permit issued </w:t>
      </w:r>
      <w:r w:rsidR="00B46FEC" w:rsidRPr="00B46FEC">
        <w:rPr>
          <w:b/>
          <w:bCs/>
          <w:sz w:val="22"/>
        </w:rPr>
        <w:t>June 29, 1998</w:t>
      </w:r>
    </w:p>
    <w:p w:rsidR="00692F44" w:rsidRPr="00B46FEC" w:rsidRDefault="00692F44" w:rsidP="00B46FEC">
      <w:pPr>
        <w:spacing w:after="120"/>
        <w:rPr>
          <w:sz w:val="22"/>
        </w:rPr>
      </w:pPr>
      <w:r w:rsidRPr="00B46FEC">
        <w:rPr>
          <w:sz w:val="22"/>
        </w:rPr>
        <w:t xml:space="preserve">Application for a Title V Air Operation Permit Renewal received </w:t>
      </w:r>
      <w:r w:rsidR="00B46FEC" w:rsidRPr="00B46FEC">
        <w:rPr>
          <w:b/>
          <w:bCs/>
          <w:sz w:val="22"/>
        </w:rPr>
        <w:t>May 21, 2018</w:t>
      </w:r>
    </w:p>
    <w:p w:rsidR="001E46FC" w:rsidRPr="00D10365" w:rsidRDefault="001E46FC" w:rsidP="001E46FC">
      <w:pPr>
        <w:spacing w:after="120"/>
        <w:rPr>
          <w:b/>
          <w:caps/>
          <w:sz w:val="22"/>
          <w:szCs w:val="22"/>
        </w:rPr>
      </w:pPr>
      <w:r>
        <w:rPr>
          <w:b/>
          <w:caps/>
          <w:sz w:val="22"/>
          <w:szCs w:val="22"/>
        </w:rPr>
        <w:t>Primary Regulatory requirements</w:t>
      </w:r>
    </w:p>
    <w:p w:rsidR="00517142" w:rsidRPr="00F40A26" w:rsidRDefault="00517142" w:rsidP="00517142">
      <w:pPr>
        <w:spacing w:after="120"/>
        <w:jc w:val="both"/>
        <w:rPr>
          <w:sz w:val="22"/>
        </w:rPr>
      </w:pPr>
      <w:r w:rsidRPr="00F40A26">
        <w:rPr>
          <w:sz w:val="22"/>
          <w:u w:val="single"/>
        </w:rPr>
        <w:t>Standard Industrial Classification (SIC) Code</w:t>
      </w:r>
      <w:r w:rsidRPr="00F40A26">
        <w:rPr>
          <w:sz w:val="22"/>
        </w:rPr>
        <w:t>:  4911 – Electrical Generation.</w:t>
      </w:r>
    </w:p>
    <w:p w:rsidR="00C02A65" w:rsidRDefault="00517142" w:rsidP="00517142">
      <w:pPr>
        <w:spacing w:after="120"/>
        <w:jc w:val="both"/>
        <w:rPr>
          <w:sz w:val="22"/>
        </w:rPr>
      </w:pPr>
      <w:r w:rsidRPr="00F40A26">
        <w:rPr>
          <w:sz w:val="22"/>
          <w:u w:val="single"/>
        </w:rPr>
        <w:t>North American Industry Classification System (NAICS)</w:t>
      </w:r>
      <w:r w:rsidRPr="00F40A26">
        <w:rPr>
          <w:sz w:val="22"/>
        </w:rPr>
        <w:t>:  22112 – Fossil Fuel Electric Power Generation.</w:t>
      </w:r>
    </w:p>
    <w:p w:rsidR="004222B6" w:rsidRPr="00517142" w:rsidRDefault="00A8180D" w:rsidP="004222B6">
      <w:pPr>
        <w:spacing w:after="120"/>
        <w:jc w:val="both"/>
        <w:rPr>
          <w:sz w:val="22"/>
        </w:rPr>
      </w:pPr>
      <w:bookmarkStart w:id="3" w:name="q5"/>
      <w:bookmarkEnd w:id="3"/>
      <w:r w:rsidRPr="00517142">
        <w:rPr>
          <w:sz w:val="22"/>
          <w:u w:val="single"/>
        </w:rPr>
        <w:t>HAP</w:t>
      </w:r>
      <w:r w:rsidR="004222B6" w:rsidRPr="00517142">
        <w:rPr>
          <w:sz w:val="22"/>
        </w:rPr>
        <w:t>:  The facility is identified as a major source of hazardous air pollutants (HAP).</w:t>
      </w:r>
    </w:p>
    <w:p w:rsidR="004222B6" w:rsidRPr="00517142" w:rsidRDefault="004222B6" w:rsidP="004222B6">
      <w:pPr>
        <w:pStyle w:val="BodyText"/>
        <w:jc w:val="both"/>
        <w:rPr>
          <w:sz w:val="22"/>
        </w:rPr>
      </w:pPr>
      <w:r w:rsidRPr="00517142">
        <w:rPr>
          <w:sz w:val="22"/>
          <w:u w:val="single"/>
        </w:rPr>
        <w:t>Title IV</w:t>
      </w:r>
      <w:r w:rsidRPr="00517142">
        <w:rPr>
          <w:sz w:val="22"/>
        </w:rPr>
        <w:t>:  The facility operates units subject to the acid rain provisions of the Clean Air Act.</w:t>
      </w:r>
    </w:p>
    <w:p w:rsidR="004222B6" w:rsidRPr="00517142" w:rsidRDefault="004222B6" w:rsidP="004222B6">
      <w:pPr>
        <w:spacing w:after="120"/>
        <w:jc w:val="both"/>
        <w:rPr>
          <w:sz w:val="22"/>
        </w:rPr>
      </w:pPr>
      <w:r w:rsidRPr="00517142">
        <w:rPr>
          <w:sz w:val="22"/>
          <w:u w:val="single"/>
        </w:rPr>
        <w:t>Title V</w:t>
      </w:r>
      <w:r w:rsidRPr="00517142">
        <w:rPr>
          <w:sz w:val="22"/>
        </w:rPr>
        <w:t>:  The facility is a Title V major source of air poll</w:t>
      </w:r>
      <w:r w:rsidR="00F338F5" w:rsidRPr="00517142">
        <w:rPr>
          <w:sz w:val="22"/>
        </w:rPr>
        <w:t xml:space="preserve">ution in accordance with </w:t>
      </w:r>
      <w:r w:rsidR="00002758" w:rsidRPr="00517142">
        <w:rPr>
          <w:sz w:val="22"/>
        </w:rPr>
        <w:t>Chapter</w:t>
      </w:r>
      <w:r w:rsidR="00F338F5" w:rsidRPr="00517142">
        <w:rPr>
          <w:sz w:val="22"/>
        </w:rPr>
        <w:t xml:space="preserve"> 62-</w:t>
      </w:r>
      <w:r w:rsidRPr="00517142">
        <w:rPr>
          <w:sz w:val="22"/>
        </w:rPr>
        <w:t xml:space="preserve">213, </w:t>
      </w:r>
      <w:r w:rsidR="00F338F5" w:rsidRPr="00517142">
        <w:rPr>
          <w:sz w:val="22"/>
          <w:szCs w:val="22"/>
        </w:rPr>
        <w:t>Florida Administrative Code (F.A.C.).</w:t>
      </w:r>
    </w:p>
    <w:p w:rsidR="004222B6" w:rsidRPr="00517142" w:rsidRDefault="004222B6" w:rsidP="004222B6">
      <w:pPr>
        <w:spacing w:after="120"/>
        <w:jc w:val="both"/>
        <w:rPr>
          <w:sz w:val="22"/>
        </w:rPr>
      </w:pPr>
      <w:r w:rsidRPr="00517142">
        <w:rPr>
          <w:sz w:val="22"/>
          <w:u w:val="single"/>
        </w:rPr>
        <w:t>PSD</w:t>
      </w:r>
      <w:r w:rsidRPr="00517142">
        <w:rPr>
          <w:sz w:val="22"/>
        </w:rPr>
        <w:t xml:space="preserve">: </w:t>
      </w:r>
      <w:r w:rsidR="00AA4348" w:rsidRPr="00517142">
        <w:rPr>
          <w:sz w:val="22"/>
        </w:rPr>
        <w:t xml:space="preserve"> The facility is a Prevention of Significant Deterioration (PSD)-major source of air pollution in accordance with Rule 62-212.400, F.A.C.</w:t>
      </w:r>
    </w:p>
    <w:p w:rsidR="004222B6" w:rsidRPr="00517142" w:rsidRDefault="004222B6" w:rsidP="004222B6">
      <w:pPr>
        <w:pStyle w:val="BodyText"/>
        <w:jc w:val="both"/>
        <w:rPr>
          <w:sz w:val="22"/>
        </w:rPr>
      </w:pPr>
      <w:r w:rsidRPr="00517142">
        <w:rPr>
          <w:sz w:val="22"/>
          <w:u w:val="single"/>
        </w:rPr>
        <w:t>NSPS</w:t>
      </w:r>
      <w:r w:rsidRPr="00517142">
        <w:rPr>
          <w:sz w:val="22"/>
        </w:rPr>
        <w:t>:  The facility operates units subject to the New Source Performance Standards (NSPS) of 40 Code of Federal Regulations (CFR) 60.</w:t>
      </w:r>
    </w:p>
    <w:p w:rsidR="00770A31" w:rsidRPr="00517142" w:rsidRDefault="00770A31" w:rsidP="00770A31">
      <w:pPr>
        <w:pStyle w:val="BodyText"/>
        <w:jc w:val="both"/>
        <w:rPr>
          <w:sz w:val="22"/>
        </w:rPr>
      </w:pPr>
      <w:r w:rsidRPr="00517142">
        <w:rPr>
          <w:sz w:val="22"/>
          <w:u w:val="single"/>
        </w:rPr>
        <w:t>NESHAP</w:t>
      </w:r>
      <w:r w:rsidRPr="00517142">
        <w:rPr>
          <w:sz w:val="22"/>
        </w:rPr>
        <w:t xml:space="preserve">:  The facility operates units subject to </w:t>
      </w:r>
      <w:r w:rsidR="00CC6C34" w:rsidRPr="00517142">
        <w:rPr>
          <w:sz w:val="22"/>
        </w:rPr>
        <w:t xml:space="preserve">the </w:t>
      </w:r>
      <w:r w:rsidRPr="00517142">
        <w:rPr>
          <w:sz w:val="22"/>
        </w:rPr>
        <w:t xml:space="preserve">National Emissions Standards for </w:t>
      </w:r>
      <w:r w:rsidR="00FD39C2" w:rsidRPr="00517142">
        <w:rPr>
          <w:sz w:val="22"/>
        </w:rPr>
        <w:t>Hazardous</w:t>
      </w:r>
      <w:r w:rsidRPr="00517142">
        <w:rPr>
          <w:sz w:val="22"/>
        </w:rPr>
        <w:t xml:space="preserve"> Air Pollutants (NESHAP) of 40 CFR 6</w:t>
      </w:r>
      <w:r w:rsidR="00CC6C34" w:rsidRPr="00517142">
        <w:rPr>
          <w:sz w:val="22"/>
        </w:rPr>
        <w:t>3</w:t>
      </w:r>
      <w:r w:rsidRPr="00517142">
        <w:rPr>
          <w:sz w:val="22"/>
        </w:rPr>
        <w:t>.</w:t>
      </w:r>
      <w:r w:rsidR="00C708DE" w:rsidRPr="00517142">
        <w:rPr>
          <w:sz w:val="22"/>
        </w:rPr>
        <w:t xml:space="preserve">  </w:t>
      </w:r>
    </w:p>
    <w:p w:rsidR="00517142" w:rsidRPr="00517142" w:rsidRDefault="00517142" w:rsidP="00517142">
      <w:pPr>
        <w:spacing w:after="120"/>
        <w:rPr>
          <w:sz w:val="22"/>
          <w:szCs w:val="22"/>
        </w:rPr>
      </w:pPr>
      <w:r w:rsidRPr="00A22EC8">
        <w:rPr>
          <w:sz w:val="22"/>
          <w:szCs w:val="22"/>
          <w:u w:val="single"/>
        </w:rPr>
        <w:t>Siting</w:t>
      </w:r>
      <w:r w:rsidRPr="00A22EC8">
        <w:rPr>
          <w:sz w:val="22"/>
          <w:szCs w:val="22"/>
        </w:rPr>
        <w:t xml:space="preserve">: </w:t>
      </w:r>
      <w:r w:rsidRPr="00A22EC8">
        <w:rPr>
          <w:i/>
          <w:sz w:val="22"/>
          <w:szCs w:val="22"/>
        </w:rPr>
        <w:t xml:space="preserve"> </w:t>
      </w:r>
      <w:r w:rsidRPr="00A22EC8">
        <w:rPr>
          <w:sz w:val="22"/>
          <w:szCs w:val="22"/>
        </w:rPr>
        <w:t xml:space="preserve">Unit </w:t>
      </w:r>
      <w:r w:rsidRPr="00517142">
        <w:rPr>
          <w:sz w:val="22"/>
          <w:szCs w:val="22"/>
        </w:rPr>
        <w:t>3 (Emissions Unit Nos. 003 and 004), Unit 4 (Emissions Unit Nos. 005 and 006) and Unit 8 (Emissions Unit 011, 012, 017 and 018) were originally certified pursuant to the power plant siting provisions of Chapter 62-17, F.A.C.</w:t>
      </w:r>
    </w:p>
    <w:p w:rsidR="006A46D3" w:rsidRPr="00517142" w:rsidRDefault="00517142" w:rsidP="00517142">
      <w:pPr>
        <w:spacing w:after="120"/>
        <w:rPr>
          <w:sz w:val="22"/>
          <w:szCs w:val="22"/>
        </w:rPr>
      </w:pPr>
      <w:r w:rsidRPr="00517142">
        <w:rPr>
          <w:sz w:val="22"/>
          <w:szCs w:val="22"/>
          <w:u w:val="single"/>
        </w:rPr>
        <w:t>CAM</w:t>
      </w:r>
      <w:r w:rsidRPr="00517142">
        <w:rPr>
          <w:sz w:val="22"/>
          <w:szCs w:val="22"/>
        </w:rPr>
        <w:t>:  Compliance Assurance Monitoring (CAM) applies to Emissions Unit Nos. 001 and 002 for the controlled emissions of PM, because these units use an electrostatic precipitator to achieve permitted PM limits and have uncontrolled potential emissions of greater than 100 tons per year.</w:t>
      </w:r>
    </w:p>
    <w:p w:rsidR="009A64C4" w:rsidRDefault="009A64C4" w:rsidP="006A46D3">
      <w:pPr>
        <w:spacing w:after="120"/>
        <w:rPr>
          <w:sz w:val="22"/>
          <w:szCs w:val="22"/>
        </w:rPr>
      </w:pPr>
      <w:r w:rsidRPr="00517142">
        <w:rPr>
          <w:sz w:val="22"/>
          <w:szCs w:val="22"/>
          <w:u w:val="single"/>
        </w:rPr>
        <w:t>GHG</w:t>
      </w:r>
      <w:r w:rsidRPr="00517142">
        <w:rPr>
          <w:sz w:val="22"/>
          <w:szCs w:val="22"/>
        </w:rPr>
        <w:t>:  The facility is identified as a</w:t>
      </w:r>
      <w:r>
        <w:rPr>
          <w:sz w:val="22"/>
          <w:szCs w:val="22"/>
        </w:rPr>
        <w:t xml:space="preserve"> major source of </w:t>
      </w:r>
      <w:r w:rsidR="00517142">
        <w:rPr>
          <w:sz w:val="22"/>
          <w:szCs w:val="22"/>
        </w:rPr>
        <w:t>greenhouse</w:t>
      </w:r>
      <w:r>
        <w:rPr>
          <w:sz w:val="22"/>
          <w:szCs w:val="22"/>
        </w:rPr>
        <w:t xml:space="preserve"> gas (GHG) pollutants.</w:t>
      </w:r>
    </w:p>
    <w:p w:rsidR="008A76C6" w:rsidRDefault="008A76C6" w:rsidP="00303BD3">
      <w:pPr>
        <w:spacing w:after="120"/>
        <w:rPr>
          <w:b/>
          <w:sz w:val="22"/>
          <w:szCs w:val="22"/>
        </w:rPr>
      </w:pPr>
      <w:r>
        <w:rPr>
          <w:b/>
          <w:sz w:val="22"/>
          <w:szCs w:val="22"/>
        </w:rPr>
        <w:t>PROJECT REVIEW</w:t>
      </w:r>
    </w:p>
    <w:p w:rsidR="0053445F" w:rsidRDefault="009F16AF" w:rsidP="00303BD3">
      <w:pPr>
        <w:spacing w:after="120"/>
        <w:rPr>
          <w:sz w:val="22"/>
          <w:szCs w:val="22"/>
        </w:rPr>
      </w:pPr>
      <w:r w:rsidRPr="00956930">
        <w:rPr>
          <w:sz w:val="22"/>
          <w:szCs w:val="22"/>
        </w:rPr>
        <w:t xml:space="preserve">This renewal primarily </w:t>
      </w:r>
      <w:r w:rsidRPr="00B46FEC">
        <w:rPr>
          <w:sz w:val="22"/>
          <w:szCs w:val="22"/>
        </w:rPr>
        <w:t>incorporates changes made in concurrent Permit No. 0850001-041-AC/PSD-FL-146J and 327G</w:t>
      </w:r>
      <w:r>
        <w:rPr>
          <w:sz w:val="22"/>
          <w:szCs w:val="22"/>
        </w:rPr>
        <w:t xml:space="preserve">.  This air construction permit authorized reporting on a semiannual basis, revised inlet fogger monitoring for Martin Units 3 and 4, revised natural gas tracking </w:t>
      </w:r>
      <w:r w:rsidR="00F97A05">
        <w:rPr>
          <w:sz w:val="22"/>
          <w:szCs w:val="22"/>
        </w:rPr>
        <w:t>for the auxiliary boiler, increased the allowable heat input rate for Martin Unit 8 and allowed use of a CO CEMS to be optional.  Other changes include typographical error corrections and format updates for the permit and appendices.  All subsections with engine rules (NSPS Subparts IIII and JJJJ and NESHAP Subpart ZZZZ) were updated to reflect the vacatur of certain provisions by the EPA.  Section III., Subsection I. has been updated to reflect the future construction of an emergency engine.</w:t>
      </w:r>
      <w:r w:rsidR="00313943">
        <w:rPr>
          <w:sz w:val="22"/>
          <w:szCs w:val="22"/>
        </w:rPr>
        <w:t xml:space="preserve">  </w:t>
      </w:r>
      <w:r w:rsidR="00313943" w:rsidRPr="00C96213">
        <w:rPr>
          <w:sz w:val="22"/>
          <w:szCs w:val="22"/>
        </w:rPr>
        <w:t xml:space="preserve">Changes to the permit made as part of this revision are shown in </w:t>
      </w:r>
      <w:r w:rsidR="00313943" w:rsidRPr="00C96213">
        <w:rPr>
          <w:strike/>
          <w:sz w:val="22"/>
          <w:szCs w:val="22"/>
        </w:rPr>
        <w:t>strike through</w:t>
      </w:r>
      <w:r w:rsidR="00313943" w:rsidRPr="00313943">
        <w:rPr>
          <w:sz w:val="22"/>
          <w:szCs w:val="22"/>
        </w:rPr>
        <w:t xml:space="preserve"> format</w:t>
      </w:r>
      <w:r w:rsidR="00313943" w:rsidRPr="00C96213">
        <w:rPr>
          <w:sz w:val="22"/>
          <w:szCs w:val="22"/>
        </w:rPr>
        <w:t xml:space="preserve"> for deletions and in </w:t>
      </w:r>
      <w:r w:rsidR="00313943" w:rsidRPr="00C96213">
        <w:rPr>
          <w:sz w:val="22"/>
          <w:szCs w:val="22"/>
          <w:u w:val="double"/>
        </w:rPr>
        <w:t>double underline</w:t>
      </w:r>
      <w:r w:rsidR="00313943" w:rsidRPr="00C96213">
        <w:rPr>
          <w:sz w:val="22"/>
          <w:szCs w:val="22"/>
        </w:rPr>
        <w:t xml:space="preserve"> format for additions.</w:t>
      </w:r>
      <w:r w:rsidR="00956930">
        <w:rPr>
          <w:sz w:val="22"/>
          <w:szCs w:val="22"/>
        </w:rPr>
        <w:t xml:space="preserve">  Obsolete and nonapplicable provisions were removed from the permit.</w:t>
      </w:r>
      <w:r w:rsidR="00313943" w:rsidRPr="00C96213">
        <w:rPr>
          <w:sz w:val="22"/>
          <w:szCs w:val="22"/>
        </w:rPr>
        <w:t xml:space="preserve">  </w:t>
      </w:r>
      <w:r w:rsidR="00313943">
        <w:rPr>
          <w:sz w:val="22"/>
          <w:szCs w:val="22"/>
        </w:rPr>
        <w:t>F</w:t>
      </w:r>
      <w:r w:rsidR="00313943" w:rsidRPr="00C96213">
        <w:rPr>
          <w:sz w:val="22"/>
          <w:szCs w:val="22"/>
        </w:rPr>
        <w:t>or ease of identif</w:t>
      </w:r>
      <w:r w:rsidR="00313943">
        <w:rPr>
          <w:sz w:val="22"/>
          <w:szCs w:val="22"/>
        </w:rPr>
        <w:t>ication, all</w:t>
      </w:r>
      <w:r w:rsidR="00313943" w:rsidRPr="00C96213">
        <w:rPr>
          <w:sz w:val="22"/>
          <w:szCs w:val="22"/>
        </w:rPr>
        <w:t xml:space="preserve"> changes </w:t>
      </w:r>
      <w:r w:rsidR="00313943">
        <w:rPr>
          <w:sz w:val="22"/>
          <w:szCs w:val="22"/>
        </w:rPr>
        <w:t>have also been</w:t>
      </w:r>
      <w:r w:rsidR="00313943" w:rsidRPr="00C96213">
        <w:rPr>
          <w:sz w:val="22"/>
          <w:szCs w:val="22"/>
        </w:rPr>
        <w:t xml:space="preserve"> </w:t>
      </w:r>
      <w:r w:rsidR="00313943" w:rsidRPr="00C96213">
        <w:rPr>
          <w:sz w:val="22"/>
          <w:szCs w:val="22"/>
          <w:highlight w:val="yellow"/>
        </w:rPr>
        <w:t>highlighted in yellow</w:t>
      </w:r>
      <w:r w:rsidR="00313943" w:rsidRPr="008A50BB">
        <w:rPr>
          <w:sz w:val="22"/>
          <w:szCs w:val="22"/>
        </w:rPr>
        <w:t xml:space="preserve"> </w:t>
      </w:r>
      <w:r w:rsidR="00313943">
        <w:rPr>
          <w:sz w:val="22"/>
          <w:szCs w:val="22"/>
        </w:rPr>
        <w:t>within the permit document</w:t>
      </w:r>
      <w:r w:rsidR="00313943" w:rsidRPr="00C96213">
        <w:rPr>
          <w:sz w:val="22"/>
          <w:szCs w:val="22"/>
        </w:rPr>
        <w:t>.</w:t>
      </w:r>
    </w:p>
    <w:p w:rsidR="00517142" w:rsidRDefault="00517142" w:rsidP="00303BD3">
      <w:pPr>
        <w:spacing w:after="120"/>
        <w:rPr>
          <w:b/>
          <w:sz w:val="22"/>
          <w:szCs w:val="22"/>
          <w:u w:val="single"/>
        </w:rPr>
      </w:pPr>
      <w:r>
        <w:rPr>
          <w:b/>
          <w:sz w:val="22"/>
          <w:szCs w:val="22"/>
          <w:u w:val="single"/>
        </w:rPr>
        <w:t>General Changes</w:t>
      </w:r>
    </w:p>
    <w:p w:rsidR="006A46D3" w:rsidRDefault="00097EFA" w:rsidP="00CB423F">
      <w:pPr>
        <w:pStyle w:val="ListParagraph"/>
        <w:numPr>
          <w:ilvl w:val="0"/>
          <w:numId w:val="1"/>
        </w:numPr>
        <w:tabs>
          <w:tab w:val="left" w:pos="360"/>
        </w:tabs>
        <w:spacing w:after="120"/>
        <w:contextualSpacing w:val="0"/>
        <w:rPr>
          <w:bCs/>
          <w:sz w:val="22"/>
          <w:szCs w:val="22"/>
        </w:rPr>
      </w:pPr>
      <w:r w:rsidRPr="00097EFA">
        <w:rPr>
          <w:bCs/>
          <w:sz w:val="22"/>
          <w:szCs w:val="22"/>
        </w:rPr>
        <w:t>The new Department logo and letterhead have been added to the title and placard pages of this permit.</w:t>
      </w:r>
    </w:p>
    <w:p w:rsidR="00CE695F" w:rsidRDefault="00CE695F" w:rsidP="00CB423F">
      <w:pPr>
        <w:pStyle w:val="ListParagraph"/>
        <w:numPr>
          <w:ilvl w:val="0"/>
          <w:numId w:val="1"/>
        </w:numPr>
        <w:tabs>
          <w:tab w:val="left" w:pos="360"/>
        </w:tabs>
        <w:spacing w:after="120"/>
        <w:contextualSpacing w:val="0"/>
        <w:rPr>
          <w:bCs/>
          <w:sz w:val="22"/>
          <w:szCs w:val="22"/>
        </w:rPr>
      </w:pPr>
      <w:r>
        <w:rPr>
          <w:bCs/>
          <w:sz w:val="22"/>
          <w:szCs w:val="22"/>
        </w:rPr>
        <w:t>Citations were updated throughout the permit to reflect current Title V air operation permit format standards.</w:t>
      </w:r>
    </w:p>
    <w:p w:rsidR="00050CA4" w:rsidRDefault="00825B87" w:rsidP="00CB423F">
      <w:pPr>
        <w:pStyle w:val="ListParagraph"/>
        <w:numPr>
          <w:ilvl w:val="0"/>
          <w:numId w:val="1"/>
        </w:numPr>
        <w:tabs>
          <w:tab w:val="left" w:pos="360"/>
        </w:tabs>
        <w:spacing w:after="120"/>
        <w:contextualSpacing w:val="0"/>
        <w:rPr>
          <w:bCs/>
          <w:sz w:val="22"/>
          <w:szCs w:val="22"/>
        </w:rPr>
      </w:pPr>
      <w:r>
        <w:rPr>
          <w:bCs/>
          <w:sz w:val="22"/>
          <w:szCs w:val="22"/>
        </w:rPr>
        <w:t xml:space="preserve">Terms have been abbreviated throughout the permit </w:t>
      </w:r>
      <w:r w:rsidR="00050CA4">
        <w:rPr>
          <w:bCs/>
          <w:sz w:val="22"/>
          <w:szCs w:val="22"/>
        </w:rPr>
        <w:t xml:space="preserve">wherever applicable.  </w:t>
      </w:r>
    </w:p>
    <w:p w:rsidR="00F93D64" w:rsidRDefault="00F93D64" w:rsidP="00CB423F">
      <w:pPr>
        <w:pStyle w:val="ListParagraph"/>
        <w:numPr>
          <w:ilvl w:val="0"/>
          <w:numId w:val="1"/>
        </w:numPr>
        <w:tabs>
          <w:tab w:val="left" w:pos="360"/>
        </w:tabs>
        <w:spacing w:after="120"/>
        <w:contextualSpacing w:val="0"/>
        <w:rPr>
          <w:bCs/>
          <w:sz w:val="22"/>
          <w:szCs w:val="22"/>
        </w:rPr>
      </w:pPr>
      <w:r>
        <w:rPr>
          <w:bCs/>
          <w:sz w:val="22"/>
          <w:szCs w:val="22"/>
        </w:rPr>
        <w:t>Specific conditions that reference rules that are cited in the body of the permit have been replaced with the appropriate cross references, as applicable.</w:t>
      </w:r>
    </w:p>
    <w:p w:rsidR="00BB798D" w:rsidRDefault="00BB798D" w:rsidP="00CB423F">
      <w:pPr>
        <w:pStyle w:val="ListParagraph"/>
        <w:numPr>
          <w:ilvl w:val="0"/>
          <w:numId w:val="1"/>
        </w:numPr>
        <w:tabs>
          <w:tab w:val="left" w:pos="360"/>
        </w:tabs>
        <w:spacing w:after="120"/>
        <w:contextualSpacing w:val="0"/>
        <w:rPr>
          <w:bCs/>
          <w:sz w:val="22"/>
          <w:szCs w:val="22"/>
        </w:rPr>
      </w:pPr>
      <w:r>
        <w:rPr>
          <w:bCs/>
          <w:sz w:val="22"/>
          <w:szCs w:val="22"/>
        </w:rPr>
        <w:t>Rules and specific conditions that refer to “owner or operator” have been replaced with “permittee” wherever applicable to reflect current Title V air operation permit format standards.</w:t>
      </w:r>
    </w:p>
    <w:p w:rsidR="000552A9" w:rsidRDefault="000552A9" w:rsidP="00CB423F">
      <w:pPr>
        <w:pStyle w:val="ListParagraph"/>
        <w:numPr>
          <w:ilvl w:val="0"/>
          <w:numId w:val="1"/>
        </w:numPr>
        <w:tabs>
          <w:tab w:val="left" w:pos="360"/>
        </w:tabs>
        <w:spacing w:after="120"/>
        <w:contextualSpacing w:val="0"/>
        <w:rPr>
          <w:bCs/>
          <w:sz w:val="22"/>
          <w:szCs w:val="22"/>
        </w:rPr>
      </w:pPr>
      <w:r>
        <w:rPr>
          <w:bCs/>
          <w:sz w:val="22"/>
          <w:szCs w:val="22"/>
        </w:rPr>
        <w:t>For all NSPS and NESHAP language in which the Department is the Administrator, the word “Administrator” has been replaced with “Department.”</w:t>
      </w:r>
    </w:p>
    <w:p w:rsidR="00DE7640" w:rsidRDefault="00DE7640" w:rsidP="00CB423F">
      <w:pPr>
        <w:pStyle w:val="ListParagraph"/>
        <w:numPr>
          <w:ilvl w:val="0"/>
          <w:numId w:val="1"/>
        </w:numPr>
        <w:tabs>
          <w:tab w:val="left" w:pos="360"/>
        </w:tabs>
        <w:spacing w:after="120"/>
        <w:contextualSpacing w:val="0"/>
        <w:rPr>
          <w:bCs/>
          <w:sz w:val="22"/>
          <w:szCs w:val="22"/>
        </w:rPr>
      </w:pPr>
      <w:r>
        <w:rPr>
          <w:bCs/>
          <w:sz w:val="22"/>
          <w:szCs w:val="22"/>
        </w:rPr>
        <w:t>Cross-references in the permit have been updated to reflect the addition and removal of conditions.</w:t>
      </w:r>
    </w:p>
    <w:p w:rsidR="001628A8" w:rsidRDefault="001628A8" w:rsidP="00CB423F">
      <w:pPr>
        <w:pStyle w:val="ListParagraph"/>
        <w:numPr>
          <w:ilvl w:val="0"/>
          <w:numId w:val="1"/>
        </w:numPr>
        <w:tabs>
          <w:tab w:val="left" w:pos="360"/>
        </w:tabs>
        <w:spacing w:after="120"/>
        <w:contextualSpacing w:val="0"/>
        <w:rPr>
          <w:bCs/>
          <w:sz w:val="22"/>
          <w:szCs w:val="22"/>
        </w:rPr>
      </w:pPr>
      <w:r>
        <w:rPr>
          <w:bCs/>
          <w:sz w:val="22"/>
          <w:szCs w:val="22"/>
        </w:rPr>
        <w:t>Minor typographical errors have been removed throughout the permit.</w:t>
      </w:r>
    </w:p>
    <w:p w:rsidR="00C76A61" w:rsidRDefault="00C76A61" w:rsidP="00C76A61">
      <w:pPr>
        <w:tabs>
          <w:tab w:val="left" w:pos="360"/>
        </w:tabs>
        <w:spacing w:after="120"/>
        <w:rPr>
          <w:b/>
          <w:bCs/>
          <w:sz w:val="22"/>
          <w:szCs w:val="22"/>
          <w:u w:val="single"/>
        </w:rPr>
      </w:pPr>
      <w:r>
        <w:rPr>
          <w:b/>
          <w:bCs/>
          <w:sz w:val="22"/>
          <w:szCs w:val="22"/>
          <w:u w:val="single"/>
        </w:rPr>
        <w:t>Table of Contents Changes</w:t>
      </w:r>
    </w:p>
    <w:p w:rsidR="00C76A61" w:rsidRDefault="00C76A61" w:rsidP="00C76A61">
      <w:pPr>
        <w:pStyle w:val="ListParagraph"/>
        <w:numPr>
          <w:ilvl w:val="0"/>
          <w:numId w:val="1"/>
        </w:numPr>
        <w:tabs>
          <w:tab w:val="left" w:pos="360"/>
        </w:tabs>
        <w:spacing w:after="120"/>
        <w:contextualSpacing w:val="0"/>
        <w:rPr>
          <w:bCs/>
          <w:sz w:val="22"/>
          <w:szCs w:val="22"/>
        </w:rPr>
      </w:pPr>
      <w:r>
        <w:rPr>
          <w:bCs/>
          <w:sz w:val="22"/>
          <w:szCs w:val="22"/>
        </w:rPr>
        <w:t>Page numbers have been replaced by appropriate cross references.</w:t>
      </w:r>
    </w:p>
    <w:p w:rsidR="00C76A61" w:rsidRPr="00C76A61" w:rsidRDefault="00C76A61" w:rsidP="00C76A61">
      <w:pPr>
        <w:pStyle w:val="ListParagraph"/>
        <w:numPr>
          <w:ilvl w:val="0"/>
          <w:numId w:val="1"/>
        </w:numPr>
        <w:tabs>
          <w:tab w:val="left" w:pos="360"/>
        </w:tabs>
        <w:spacing w:after="120"/>
        <w:contextualSpacing w:val="0"/>
        <w:rPr>
          <w:bCs/>
          <w:sz w:val="22"/>
          <w:szCs w:val="22"/>
        </w:rPr>
      </w:pPr>
      <w:r>
        <w:rPr>
          <w:bCs/>
          <w:sz w:val="22"/>
          <w:szCs w:val="22"/>
        </w:rPr>
        <w:t>Section III., Subsection I has been updated to reflect the addition of EU No. 027.</w:t>
      </w:r>
    </w:p>
    <w:p w:rsidR="00097EFA" w:rsidRPr="00097EFA" w:rsidRDefault="00097EFA" w:rsidP="00097EFA">
      <w:pPr>
        <w:tabs>
          <w:tab w:val="left" w:pos="360"/>
        </w:tabs>
        <w:spacing w:after="120"/>
        <w:rPr>
          <w:bCs/>
          <w:sz w:val="22"/>
          <w:szCs w:val="22"/>
        </w:rPr>
      </w:pPr>
      <w:r>
        <w:rPr>
          <w:b/>
          <w:bCs/>
          <w:sz w:val="22"/>
          <w:szCs w:val="22"/>
          <w:u w:val="single"/>
        </w:rPr>
        <w:t>Section I., Subsection A. Changes</w:t>
      </w:r>
    </w:p>
    <w:p w:rsidR="00313943" w:rsidRDefault="00097EFA" w:rsidP="00CB423F">
      <w:pPr>
        <w:pStyle w:val="ListParagraph"/>
        <w:numPr>
          <w:ilvl w:val="0"/>
          <w:numId w:val="1"/>
        </w:numPr>
        <w:tabs>
          <w:tab w:val="left" w:pos="360"/>
          <w:tab w:val="left" w:pos="720"/>
          <w:tab w:val="left" w:pos="1080"/>
        </w:tabs>
        <w:spacing w:after="120"/>
        <w:contextualSpacing w:val="0"/>
        <w:rPr>
          <w:bCs/>
          <w:sz w:val="22"/>
          <w:szCs w:val="22"/>
        </w:rPr>
      </w:pPr>
      <w:r w:rsidRPr="00097EFA">
        <w:rPr>
          <w:bCs/>
          <w:sz w:val="22"/>
          <w:szCs w:val="22"/>
        </w:rPr>
        <w:t xml:space="preserve">The upgrades authorized by Permit No. 0850001-038-AC </w:t>
      </w:r>
      <w:r>
        <w:rPr>
          <w:bCs/>
          <w:sz w:val="22"/>
          <w:szCs w:val="22"/>
        </w:rPr>
        <w:t>increased the nominal generating capacity of each combustion turbine (CT)-electrical generator of Martin Unit 8 to 207.6 megawatts (MW).  To reflect this increase, the third paragraph of the facility description has been revised as follows:</w:t>
      </w:r>
    </w:p>
    <w:p w:rsidR="00097EFA" w:rsidRDefault="00097EFA" w:rsidP="00097EFA">
      <w:pPr>
        <w:pStyle w:val="ListParagraph"/>
        <w:tabs>
          <w:tab w:val="left" w:pos="360"/>
          <w:tab w:val="left" w:pos="720"/>
          <w:tab w:val="left" w:pos="1080"/>
        </w:tabs>
        <w:spacing w:after="120"/>
        <w:ind w:left="360"/>
        <w:contextualSpacing w:val="0"/>
        <w:rPr>
          <w:sz w:val="22"/>
          <w:szCs w:val="22"/>
        </w:rPr>
      </w:pPr>
      <w:r w:rsidRPr="00097EFA">
        <w:rPr>
          <w:b/>
          <w:sz w:val="22"/>
          <w:szCs w:val="22"/>
        </w:rPr>
        <w:t>Emissions Units 011, 012, 017 and 018:</w:t>
      </w:r>
      <w:r w:rsidRPr="00097EFA">
        <w:rPr>
          <w:sz w:val="22"/>
          <w:szCs w:val="22"/>
        </w:rPr>
        <w:t xml:space="preserve">  Collectively regulated as Unit 8, this unit is a “4-on-1” combined cycle system which consists of four oil and natural gas fired combustion turbine/HRSG systems with a single steam turbine electrical generator.  Each of the four gas </w:t>
      </w:r>
      <w:r w:rsidRPr="00097EFA">
        <w:rPr>
          <w:iCs/>
          <w:sz w:val="22"/>
          <w:szCs w:val="22"/>
        </w:rPr>
        <w:t>combustion</w:t>
      </w:r>
      <w:r w:rsidRPr="00097EFA">
        <w:rPr>
          <w:sz w:val="22"/>
          <w:szCs w:val="22"/>
        </w:rPr>
        <w:t xml:space="preserve"> turbines (8A, 8B, 8C and 8D) is nominally rated at </w:t>
      </w:r>
      <w:r w:rsidRPr="00097EFA">
        <w:rPr>
          <w:strike/>
          <w:sz w:val="22"/>
          <w:szCs w:val="22"/>
          <w:highlight w:val="yellow"/>
        </w:rPr>
        <w:t>170</w:t>
      </w:r>
      <w:r w:rsidRPr="00097EFA">
        <w:rPr>
          <w:sz w:val="22"/>
          <w:szCs w:val="22"/>
        </w:rPr>
        <w:t xml:space="preserve"> </w:t>
      </w:r>
      <w:r w:rsidRPr="00097EFA">
        <w:rPr>
          <w:sz w:val="22"/>
          <w:szCs w:val="22"/>
          <w:highlight w:val="yellow"/>
          <w:u w:val="double"/>
        </w:rPr>
        <w:t>207.6</w:t>
      </w:r>
      <w:r w:rsidRPr="00097EFA">
        <w:rPr>
          <w:sz w:val="22"/>
          <w:szCs w:val="22"/>
        </w:rPr>
        <w:t xml:space="preserve"> MW, with a matched 495 million British thermal units per hour (MMBtu/hr) gas-fired HRSG, and a single 470 MW steam turbine driven electrical generator that serves all four CT/HRSG systems, and associated support equipment.  Nitrogen oxides (NO</w:t>
      </w:r>
      <w:r w:rsidRPr="00097EFA">
        <w:rPr>
          <w:sz w:val="22"/>
          <w:szCs w:val="22"/>
          <w:vertAlign w:val="subscript"/>
        </w:rPr>
        <w:t>X</w:t>
      </w:r>
      <w:r w:rsidRPr="00097EFA">
        <w:rPr>
          <w:sz w:val="22"/>
          <w:szCs w:val="22"/>
        </w:rPr>
        <w:t>) emissions are controlled by using Dry Low NO</w:t>
      </w:r>
      <w:r w:rsidRPr="00097EFA">
        <w:rPr>
          <w:sz w:val="22"/>
          <w:szCs w:val="22"/>
          <w:vertAlign w:val="subscript"/>
        </w:rPr>
        <w:t>X</w:t>
      </w:r>
      <w:r w:rsidRPr="00097EFA">
        <w:rPr>
          <w:sz w:val="22"/>
          <w:szCs w:val="22"/>
        </w:rPr>
        <w:t xml:space="preserve"> (DLN) combustors for natural gas and steam injection for fuel oil firing.  A selective catalytic reduction (SCR) system, in combination with the other NO</w:t>
      </w:r>
      <w:r w:rsidRPr="00097EFA">
        <w:rPr>
          <w:sz w:val="22"/>
          <w:szCs w:val="22"/>
          <w:vertAlign w:val="subscript"/>
        </w:rPr>
        <w:t>X</w:t>
      </w:r>
      <w:r w:rsidRPr="00097EFA">
        <w:rPr>
          <w:sz w:val="22"/>
          <w:szCs w:val="22"/>
        </w:rPr>
        <w:t xml:space="preserve"> controls, further reduces NO</w:t>
      </w:r>
      <w:r w:rsidRPr="00097EFA">
        <w:rPr>
          <w:sz w:val="22"/>
          <w:szCs w:val="22"/>
          <w:vertAlign w:val="subscript"/>
        </w:rPr>
        <w:t>X</w:t>
      </w:r>
      <w:r w:rsidRPr="00097EFA">
        <w:rPr>
          <w:sz w:val="22"/>
          <w:szCs w:val="22"/>
        </w:rPr>
        <w:t xml:space="preserve"> emissions during combined cycle operation.  The total generating capacity of this combined cycle combustion turbine system is approximately </w:t>
      </w:r>
      <w:r w:rsidRPr="00097EFA">
        <w:rPr>
          <w:strike/>
          <w:sz w:val="22"/>
          <w:szCs w:val="22"/>
          <w:highlight w:val="yellow"/>
        </w:rPr>
        <w:t>1,150</w:t>
      </w:r>
      <w:r w:rsidRPr="00097EFA">
        <w:rPr>
          <w:sz w:val="22"/>
          <w:szCs w:val="22"/>
        </w:rPr>
        <w:t xml:space="preserve"> </w:t>
      </w:r>
      <w:r w:rsidRPr="00097EFA">
        <w:rPr>
          <w:sz w:val="22"/>
          <w:szCs w:val="22"/>
          <w:highlight w:val="yellow"/>
          <w:u w:val="double"/>
        </w:rPr>
        <w:t>1,300.4</w:t>
      </w:r>
      <w:r w:rsidRPr="00097EFA">
        <w:rPr>
          <w:sz w:val="22"/>
          <w:szCs w:val="22"/>
        </w:rPr>
        <w:t xml:space="preserve"> MW.  </w:t>
      </w:r>
      <w:bookmarkStart w:id="4" w:name="_Hlk519675594"/>
      <w:r w:rsidRPr="00097EFA">
        <w:rPr>
          <w:sz w:val="22"/>
          <w:szCs w:val="22"/>
        </w:rPr>
        <w:t>There is also a solar thermal facility on-site that produces steam, which is used to augment the steam produced by the Unit 8 HRSGs, thus reducing fossil fuel use in the duct burners when adequate sunlight is available.</w:t>
      </w:r>
      <w:bookmarkEnd w:id="4"/>
    </w:p>
    <w:p w:rsidR="00C708A5" w:rsidRDefault="00B70D51" w:rsidP="00B70D51">
      <w:pPr>
        <w:pStyle w:val="ListParagraph"/>
        <w:numPr>
          <w:ilvl w:val="0"/>
          <w:numId w:val="1"/>
        </w:numPr>
        <w:tabs>
          <w:tab w:val="left" w:pos="360"/>
          <w:tab w:val="left" w:pos="720"/>
          <w:tab w:val="left" w:pos="1080"/>
        </w:tabs>
        <w:spacing w:after="120"/>
        <w:contextualSpacing w:val="0"/>
        <w:rPr>
          <w:sz w:val="22"/>
          <w:szCs w:val="22"/>
        </w:rPr>
      </w:pPr>
      <w:r>
        <w:rPr>
          <w:sz w:val="22"/>
          <w:szCs w:val="22"/>
        </w:rPr>
        <w:t>Minor revisions were made to the last paragraph of the facility description, which appears as follows:</w:t>
      </w:r>
    </w:p>
    <w:p w:rsidR="00B70D51" w:rsidRPr="00B70D51" w:rsidRDefault="00B70D51" w:rsidP="00B70D51">
      <w:pPr>
        <w:pStyle w:val="ListParagraph"/>
        <w:tabs>
          <w:tab w:val="left" w:pos="360"/>
          <w:tab w:val="left" w:pos="720"/>
          <w:tab w:val="left" w:pos="1080"/>
        </w:tabs>
        <w:spacing w:after="120"/>
        <w:ind w:left="360"/>
        <w:contextualSpacing w:val="0"/>
        <w:rPr>
          <w:sz w:val="22"/>
          <w:szCs w:val="22"/>
        </w:rPr>
      </w:pPr>
      <w:r w:rsidRPr="00B70D51">
        <w:rPr>
          <w:sz w:val="22"/>
          <w:szCs w:val="22"/>
        </w:rPr>
        <w:t xml:space="preserve">This facility also includes emergency generators, four hurricane emergency shelter stationary spark ignition </w:t>
      </w:r>
      <w:r w:rsidRPr="00B70D51">
        <w:rPr>
          <w:sz w:val="22"/>
          <w:szCs w:val="22"/>
          <w:highlight w:val="yellow"/>
          <w:u w:val="double"/>
        </w:rPr>
        <w:t>(SI)</w:t>
      </w:r>
      <w:r w:rsidRPr="00B70D51">
        <w:rPr>
          <w:sz w:val="22"/>
          <w:szCs w:val="22"/>
        </w:rPr>
        <w:t xml:space="preserve"> engine driven generators, </w:t>
      </w:r>
      <w:r w:rsidRPr="00B70D51">
        <w:rPr>
          <w:sz w:val="22"/>
          <w:szCs w:val="22"/>
          <w:highlight w:val="yellow"/>
          <w:u w:val="double"/>
        </w:rPr>
        <w:t>an emergency fire pump,</w:t>
      </w:r>
      <w:r w:rsidRPr="00B70D51">
        <w:rPr>
          <w:sz w:val="22"/>
          <w:szCs w:val="22"/>
        </w:rPr>
        <w:t xml:space="preserve"> two storage oil tanks, a mechanical cooling tower, and four electrical fuel line heaters (to heat up the natural gas fuel prior to introduction into the CT, when needed).  Also included in this permit are additional unregulated emissions units identified as facility-wide particulate matter (PM) and volatile organic compounds (VOC) emissions.</w:t>
      </w:r>
    </w:p>
    <w:p w:rsidR="00097EFA" w:rsidRPr="00097EFA" w:rsidRDefault="00097EFA" w:rsidP="00097EFA">
      <w:pPr>
        <w:pStyle w:val="ListParagraph"/>
        <w:tabs>
          <w:tab w:val="left" w:pos="360"/>
          <w:tab w:val="left" w:pos="720"/>
          <w:tab w:val="left" w:pos="1080"/>
        </w:tabs>
        <w:spacing w:after="120"/>
        <w:ind w:left="0"/>
        <w:contextualSpacing w:val="0"/>
        <w:rPr>
          <w:bCs/>
          <w:sz w:val="22"/>
          <w:szCs w:val="22"/>
        </w:rPr>
      </w:pPr>
      <w:r>
        <w:rPr>
          <w:b/>
          <w:sz w:val="22"/>
          <w:szCs w:val="22"/>
          <w:u w:val="single"/>
        </w:rPr>
        <w:t>Section I. Subsection C. Changes</w:t>
      </w:r>
    </w:p>
    <w:p w:rsidR="00065D3D" w:rsidRDefault="00097EFA" w:rsidP="00CB423F">
      <w:pPr>
        <w:pStyle w:val="ListParagraph"/>
        <w:numPr>
          <w:ilvl w:val="0"/>
          <w:numId w:val="1"/>
        </w:numPr>
        <w:tabs>
          <w:tab w:val="left" w:pos="360"/>
        </w:tabs>
        <w:spacing w:after="120"/>
        <w:contextualSpacing w:val="0"/>
        <w:rPr>
          <w:bCs/>
          <w:sz w:val="22"/>
          <w:szCs w:val="22"/>
        </w:rPr>
      </w:pPr>
      <w:r w:rsidRPr="000C4C09">
        <w:rPr>
          <w:bCs/>
          <w:sz w:val="22"/>
          <w:szCs w:val="22"/>
        </w:rPr>
        <w:t>The table of applicable regulations has been updated to reflect</w:t>
      </w:r>
      <w:r w:rsidR="00A95353" w:rsidRPr="000C4C09">
        <w:rPr>
          <w:bCs/>
          <w:sz w:val="22"/>
          <w:szCs w:val="22"/>
        </w:rPr>
        <w:t xml:space="preserve"> minor corrections and</w:t>
      </w:r>
      <w:r w:rsidRPr="000C4C09">
        <w:rPr>
          <w:bCs/>
          <w:sz w:val="22"/>
          <w:szCs w:val="22"/>
        </w:rPr>
        <w:t xml:space="preserve"> current Title V Air Operation Permit format standards</w:t>
      </w:r>
      <w:r w:rsidR="000C4C09" w:rsidRPr="000C4C09">
        <w:rPr>
          <w:bCs/>
          <w:sz w:val="22"/>
          <w:szCs w:val="22"/>
        </w:rPr>
        <w:t>.  The table has been revised as follows:</w:t>
      </w:r>
      <w:r w:rsidRPr="000C4C09">
        <w:rPr>
          <w:bCs/>
          <w:sz w:val="22"/>
          <w:szCs w:val="22"/>
        </w:rPr>
        <w:t xml:space="preserve"> </w:t>
      </w:r>
    </w:p>
    <w:tbl>
      <w:tblPr>
        <w:tblW w:w="9954" w:type="dxa"/>
        <w:tblInd w:w="34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07"/>
        <w:gridCol w:w="3147"/>
      </w:tblGrid>
      <w:tr w:rsidR="000C4C09" w:rsidRPr="000C4C09" w:rsidTr="000C4C09">
        <w:trPr>
          <w:tblHeader/>
        </w:trPr>
        <w:tc>
          <w:tcPr>
            <w:tcW w:w="6807" w:type="dxa"/>
            <w:tcBorders>
              <w:top w:val="single" w:sz="12" w:space="0" w:color="auto"/>
              <w:bottom w:val="single" w:sz="12" w:space="0" w:color="auto"/>
            </w:tcBorders>
          </w:tcPr>
          <w:p w:rsidR="000C4C09" w:rsidRPr="000C4C09" w:rsidRDefault="000C4C09" w:rsidP="000C4C09">
            <w:pPr>
              <w:rPr>
                <w:b/>
                <w:sz w:val="22"/>
              </w:rPr>
            </w:pPr>
            <w:r w:rsidRPr="000C4C09">
              <w:rPr>
                <w:b/>
                <w:sz w:val="22"/>
              </w:rPr>
              <w:t>Regulation</w:t>
            </w:r>
          </w:p>
        </w:tc>
        <w:tc>
          <w:tcPr>
            <w:tcW w:w="3147" w:type="dxa"/>
            <w:tcBorders>
              <w:top w:val="single" w:sz="12" w:space="0" w:color="auto"/>
              <w:bottom w:val="single" w:sz="12" w:space="0" w:color="auto"/>
            </w:tcBorders>
          </w:tcPr>
          <w:p w:rsidR="000C4C09" w:rsidRPr="000C4C09" w:rsidRDefault="000C4C09" w:rsidP="000C4C09">
            <w:pPr>
              <w:keepNext/>
              <w:outlineLvl w:val="1"/>
              <w:rPr>
                <w:b/>
              </w:rPr>
            </w:pPr>
            <w:r w:rsidRPr="000C4C09">
              <w:rPr>
                <w:b/>
                <w:sz w:val="22"/>
              </w:rPr>
              <w:t>EU No(s).</w:t>
            </w:r>
          </w:p>
        </w:tc>
      </w:tr>
      <w:tr w:rsidR="000C4C09" w:rsidRPr="000C4C09" w:rsidTr="000C4C09">
        <w:trPr>
          <w:tblHeader/>
        </w:trPr>
        <w:tc>
          <w:tcPr>
            <w:tcW w:w="9954" w:type="dxa"/>
            <w:gridSpan w:val="2"/>
            <w:tcBorders>
              <w:top w:val="single" w:sz="12" w:space="0" w:color="auto"/>
              <w:bottom w:val="single" w:sz="4" w:space="0" w:color="auto"/>
            </w:tcBorders>
          </w:tcPr>
          <w:p w:rsidR="000C4C09" w:rsidRPr="000C4C09" w:rsidRDefault="000C4C09" w:rsidP="000C4C09">
            <w:pPr>
              <w:jc w:val="center"/>
              <w:rPr>
                <w:sz w:val="22"/>
              </w:rPr>
            </w:pPr>
            <w:r w:rsidRPr="000C4C09">
              <w:rPr>
                <w:i/>
                <w:sz w:val="22"/>
              </w:rPr>
              <w:t>Federal Rule Citations</w:t>
            </w:r>
          </w:p>
        </w:tc>
      </w:tr>
      <w:tr w:rsidR="000C4C09" w:rsidRPr="000C4C09" w:rsidTr="000C4C09">
        <w:tc>
          <w:tcPr>
            <w:tcW w:w="6807" w:type="dxa"/>
            <w:tcBorders>
              <w:top w:val="single" w:sz="4" w:space="0" w:color="auto"/>
            </w:tcBorders>
            <w:vAlign w:val="center"/>
          </w:tcPr>
          <w:p w:rsidR="000C4C09" w:rsidRPr="000C4C09" w:rsidRDefault="000C4C09" w:rsidP="000C4C09">
            <w:pPr>
              <w:rPr>
                <w:sz w:val="22"/>
                <w:highlight w:val="yellow"/>
              </w:rPr>
            </w:pPr>
            <w:r w:rsidRPr="000C4C09">
              <w:rPr>
                <w:sz w:val="22"/>
                <w:szCs w:val="22"/>
              </w:rPr>
              <w:t>40 CFR 60, Subpart A, NSPS General Provisions</w:t>
            </w:r>
          </w:p>
        </w:tc>
        <w:tc>
          <w:tcPr>
            <w:tcW w:w="3147" w:type="dxa"/>
            <w:tcBorders>
              <w:top w:val="single" w:sz="4" w:space="0" w:color="auto"/>
            </w:tcBorders>
            <w:vAlign w:val="center"/>
          </w:tcPr>
          <w:p w:rsidR="000C4C09" w:rsidRPr="000C4C09" w:rsidRDefault="000C4C09" w:rsidP="000C4C09">
            <w:pPr>
              <w:jc w:val="center"/>
              <w:rPr>
                <w:sz w:val="22"/>
              </w:rPr>
            </w:pPr>
            <w:r w:rsidRPr="000C4C09">
              <w:rPr>
                <w:sz w:val="22"/>
                <w:szCs w:val="22"/>
              </w:rPr>
              <w:t>001, 002, 003, 004, 005, 006, 007, 011, 012, 017, 018, 026</w:t>
            </w:r>
          </w:p>
        </w:tc>
      </w:tr>
      <w:tr w:rsidR="000C4C09" w:rsidRPr="000C4C09" w:rsidTr="000C4C09">
        <w:tc>
          <w:tcPr>
            <w:tcW w:w="6807" w:type="dxa"/>
            <w:vAlign w:val="center"/>
          </w:tcPr>
          <w:p w:rsidR="000C4C09" w:rsidRPr="000C4C09" w:rsidRDefault="000C4C09" w:rsidP="000C4C09">
            <w:pPr>
              <w:rPr>
                <w:sz w:val="22"/>
                <w:highlight w:val="yellow"/>
              </w:rPr>
            </w:pPr>
            <w:r w:rsidRPr="000C4C09">
              <w:rPr>
                <w:sz w:val="22"/>
                <w:szCs w:val="22"/>
              </w:rPr>
              <w:t>40 CFR 60, Subpart D, Standards of Performance for Fossil-Fuel-Fired Steam Generators</w:t>
            </w:r>
          </w:p>
        </w:tc>
        <w:tc>
          <w:tcPr>
            <w:tcW w:w="3147" w:type="dxa"/>
            <w:vAlign w:val="center"/>
          </w:tcPr>
          <w:p w:rsidR="000C4C09" w:rsidRPr="000C4C09" w:rsidRDefault="000C4C09" w:rsidP="000C4C09">
            <w:pPr>
              <w:jc w:val="center"/>
              <w:rPr>
                <w:sz w:val="22"/>
              </w:rPr>
            </w:pPr>
            <w:r w:rsidRPr="000C4C09">
              <w:rPr>
                <w:sz w:val="22"/>
                <w:szCs w:val="22"/>
              </w:rPr>
              <w:t>001, 002</w:t>
            </w:r>
          </w:p>
        </w:tc>
      </w:tr>
      <w:tr w:rsidR="000C4C09" w:rsidRPr="000C4C09" w:rsidTr="000C4C09">
        <w:tc>
          <w:tcPr>
            <w:tcW w:w="6807" w:type="dxa"/>
            <w:vAlign w:val="center"/>
          </w:tcPr>
          <w:p w:rsidR="000C4C09" w:rsidRPr="000C4C09" w:rsidRDefault="000C4C09" w:rsidP="000C4C09">
            <w:pPr>
              <w:rPr>
                <w:sz w:val="22"/>
                <w:highlight w:val="yellow"/>
              </w:rPr>
            </w:pPr>
            <w:r w:rsidRPr="000C4C09">
              <w:rPr>
                <w:sz w:val="22"/>
                <w:szCs w:val="22"/>
              </w:rPr>
              <w:t>40 CFR 60, Subpart Dc, Standards of Performance for Small Industrial-Commercial-Institutional Steam Generating Units</w:t>
            </w:r>
          </w:p>
        </w:tc>
        <w:tc>
          <w:tcPr>
            <w:tcW w:w="3147" w:type="dxa"/>
            <w:vAlign w:val="center"/>
          </w:tcPr>
          <w:p w:rsidR="000C4C09" w:rsidRPr="000C4C09" w:rsidRDefault="000C4C09" w:rsidP="000C4C09">
            <w:pPr>
              <w:jc w:val="center"/>
              <w:rPr>
                <w:sz w:val="22"/>
              </w:rPr>
            </w:pPr>
            <w:r w:rsidRPr="000C4C09">
              <w:rPr>
                <w:sz w:val="22"/>
                <w:szCs w:val="22"/>
              </w:rPr>
              <w:t>026</w:t>
            </w:r>
          </w:p>
        </w:tc>
      </w:tr>
      <w:tr w:rsidR="000C4C09" w:rsidRPr="000C4C09" w:rsidTr="000C4C09">
        <w:tc>
          <w:tcPr>
            <w:tcW w:w="6807" w:type="dxa"/>
            <w:tcBorders>
              <w:bottom w:val="single" w:sz="6" w:space="0" w:color="auto"/>
            </w:tcBorders>
            <w:vAlign w:val="center"/>
          </w:tcPr>
          <w:p w:rsidR="000C4C09" w:rsidRPr="000C4C09" w:rsidRDefault="000C4C09" w:rsidP="000C4C09">
            <w:pPr>
              <w:rPr>
                <w:sz w:val="22"/>
                <w:highlight w:val="yellow"/>
              </w:rPr>
            </w:pPr>
            <w:r w:rsidRPr="000C4C09">
              <w:rPr>
                <w:sz w:val="22"/>
              </w:rPr>
              <w:t>40 CFR 60, Subpart GG, Standards of Performance for Stationary Gas Turbines</w:t>
            </w:r>
          </w:p>
        </w:tc>
        <w:tc>
          <w:tcPr>
            <w:tcW w:w="3147" w:type="dxa"/>
            <w:tcBorders>
              <w:bottom w:val="single" w:sz="6" w:space="0" w:color="auto"/>
            </w:tcBorders>
            <w:vAlign w:val="center"/>
          </w:tcPr>
          <w:p w:rsidR="000C4C09" w:rsidRPr="000C4C09" w:rsidRDefault="000C4C09" w:rsidP="000C4C09">
            <w:pPr>
              <w:jc w:val="center"/>
              <w:rPr>
                <w:sz w:val="22"/>
              </w:rPr>
            </w:pPr>
            <w:r w:rsidRPr="000C4C09">
              <w:rPr>
                <w:sz w:val="22"/>
                <w:szCs w:val="22"/>
              </w:rPr>
              <w:t>003, 004, 005, 006</w:t>
            </w:r>
          </w:p>
        </w:tc>
      </w:tr>
      <w:tr w:rsidR="000C4C09" w:rsidRPr="000C4C09" w:rsidTr="000C4C09">
        <w:tc>
          <w:tcPr>
            <w:tcW w:w="6807" w:type="dxa"/>
            <w:tcBorders>
              <w:top w:val="single" w:sz="6" w:space="0" w:color="auto"/>
              <w:bottom w:val="single" w:sz="8" w:space="0" w:color="auto"/>
              <w:right w:val="single" w:sz="12" w:space="0" w:color="auto"/>
            </w:tcBorders>
            <w:vAlign w:val="center"/>
          </w:tcPr>
          <w:p w:rsidR="000C4C09" w:rsidRPr="000C4C09" w:rsidRDefault="000C4C09" w:rsidP="000C4C09">
            <w:pPr>
              <w:rPr>
                <w:sz w:val="22"/>
                <w:highlight w:val="yellow"/>
              </w:rPr>
            </w:pPr>
            <w:r w:rsidRPr="000C4C09">
              <w:rPr>
                <w:sz w:val="22"/>
                <w:szCs w:val="22"/>
              </w:rPr>
              <w:t>40 CFR 60, Subpart KKKK, Standards of Performance for Stationary Combustion Turbines</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z w:val="22"/>
                <w:szCs w:val="22"/>
              </w:rPr>
              <w:t>011, 012, 017, 018</w:t>
            </w:r>
          </w:p>
        </w:tc>
      </w:tr>
      <w:tr w:rsidR="000C4C09" w:rsidRPr="000C4C09" w:rsidTr="000C4C09">
        <w:tc>
          <w:tcPr>
            <w:tcW w:w="6807" w:type="dxa"/>
            <w:tcBorders>
              <w:top w:val="single" w:sz="6" w:space="0" w:color="auto"/>
              <w:bottom w:val="single" w:sz="8" w:space="0" w:color="auto"/>
              <w:right w:val="single" w:sz="12" w:space="0" w:color="auto"/>
            </w:tcBorders>
            <w:vAlign w:val="center"/>
          </w:tcPr>
          <w:p w:rsidR="000C4C09" w:rsidRPr="000C4C09" w:rsidRDefault="000C4C09" w:rsidP="000C4C09">
            <w:pPr>
              <w:rPr>
                <w:sz w:val="22"/>
                <w:highlight w:val="yellow"/>
              </w:rPr>
            </w:pPr>
            <w:r w:rsidRPr="000C4C09">
              <w:rPr>
                <w:sz w:val="22"/>
                <w:szCs w:val="22"/>
              </w:rPr>
              <w:t>40 CFR 60, Subpart IIII, Standards of Performance for Stationary Compression Ignition Internal Combustion Engines</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z w:val="22"/>
                <w:szCs w:val="22"/>
              </w:rPr>
              <w:t>022</w:t>
            </w:r>
          </w:p>
        </w:tc>
      </w:tr>
      <w:tr w:rsidR="000C4C09" w:rsidRPr="000C4C09" w:rsidTr="000C4C09">
        <w:tc>
          <w:tcPr>
            <w:tcW w:w="6807" w:type="dxa"/>
            <w:tcBorders>
              <w:top w:val="single" w:sz="6" w:space="0" w:color="auto"/>
              <w:bottom w:val="single" w:sz="8" w:space="0" w:color="auto"/>
              <w:right w:val="single" w:sz="12" w:space="0" w:color="auto"/>
            </w:tcBorders>
            <w:vAlign w:val="center"/>
          </w:tcPr>
          <w:p w:rsidR="000C4C09" w:rsidRPr="000C4C09" w:rsidRDefault="000C4C09" w:rsidP="000C4C09">
            <w:pPr>
              <w:rPr>
                <w:sz w:val="22"/>
              </w:rPr>
            </w:pPr>
            <w:r w:rsidRPr="000C4C09">
              <w:rPr>
                <w:sz w:val="22"/>
                <w:szCs w:val="22"/>
              </w:rPr>
              <w:t xml:space="preserve">40 CFR 60, Subpart JJJJ, Standards of Performance for Stationary Spark Ignition Internal Combustion Engines </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z w:val="22"/>
                <w:szCs w:val="22"/>
              </w:rPr>
              <w:t>023, 024</w:t>
            </w:r>
          </w:p>
        </w:tc>
      </w:tr>
      <w:tr w:rsidR="000C4C09" w:rsidRPr="000C4C09" w:rsidTr="000C4C09">
        <w:tc>
          <w:tcPr>
            <w:tcW w:w="6807" w:type="dxa"/>
            <w:tcBorders>
              <w:top w:val="single" w:sz="6" w:space="0" w:color="auto"/>
              <w:bottom w:val="single" w:sz="8" w:space="0" w:color="auto"/>
              <w:right w:val="single" w:sz="12" w:space="0" w:color="auto"/>
            </w:tcBorders>
          </w:tcPr>
          <w:p w:rsidR="000C4C09" w:rsidRPr="000C4C09" w:rsidRDefault="000C4C09" w:rsidP="000C4C09">
            <w:pPr>
              <w:rPr>
                <w:sz w:val="22"/>
              </w:rPr>
            </w:pPr>
            <w:r w:rsidRPr="000C4C09">
              <w:rPr>
                <w:sz w:val="22"/>
              </w:rPr>
              <w:t>40 CFR 63, Subpart A, NESHAP General Provisions</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z w:val="22"/>
                <w:szCs w:val="22"/>
              </w:rPr>
              <w:t xml:space="preserve">001, 002, </w:t>
            </w:r>
            <w:r w:rsidRPr="000C4C09">
              <w:rPr>
                <w:strike/>
                <w:sz w:val="22"/>
                <w:szCs w:val="22"/>
                <w:highlight w:val="yellow"/>
              </w:rPr>
              <w:t>009,</w:t>
            </w:r>
            <w:r w:rsidRPr="000C4C09">
              <w:rPr>
                <w:sz w:val="22"/>
                <w:szCs w:val="22"/>
              </w:rPr>
              <w:t xml:space="preserve"> 022, 023, 024, 026</w:t>
            </w:r>
          </w:p>
        </w:tc>
      </w:tr>
      <w:tr w:rsidR="000C4C09" w:rsidRPr="000C4C09" w:rsidTr="000C4C09">
        <w:tc>
          <w:tcPr>
            <w:tcW w:w="6807" w:type="dxa"/>
            <w:tcBorders>
              <w:top w:val="single" w:sz="6" w:space="0" w:color="auto"/>
              <w:bottom w:val="single" w:sz="8" w:space="0" w:color="auto"/>
              <w:right w:val="single" w:sz="12" w:space="0" w:color="auto"/>
            </w:tcBorders>
          </w:tcPr>
          <w:p w:rsidR="000C4C09" w:rsidRPr="000C4C09" w:rsidRDefault="000C4C09" w:rsidP="000C4C09">
            <w:pPr>
              <w:rPr>
                <w:sz w:val="22"/>
              </w:rPr>
            </w:pPr>
            <w:r w:rsidRPr="000C4C09">
              <w:rPr>
                <w:sz w:val="22"/>
              </w:rPr>
              <w:t xml:space="preserve">40 CFR 63, Subpart ZZZZ, NESHAP for Stationary Reciprocating Internal Combustion Engines  </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trike/>
                <w:sz w:val="22"/>
                <w:szCs w:val="22"/>
                <w:highlight w:val="yellow"/>
              </w:rPr>
              <w:t>009,</w:t>
            </w:r>
            <w:r w:rsidRPr="000C4C09">
              <w:rPr>
                <w:sz w:val="22"/>
                <w:szCs w:val="22"/>
              </w:rPr>
              <w:t xml:space="preserve"> 022, 023, 024</w:t>
            </w:r>
          </w:p>
        </w:tc>
      </w:tr>
      <w:tr w:rsidR="000C4C09" w:rsidRPr="000C4C09" w:rsidTr="000C4C09">
        <w:tc>
          <w:tcPr>
            <w:tcW w:w="6807" w:type="dxa"/>
            <w:tcBorders>
              <w:top w:val="single" w:sz="6" w:space="0" w:color="auto"/>
              <w:bottom w:val="single" w:sz="8" w:space="0" w:color="auto"/>
              <w:right w:val="single" w:sz="12" w:space="0" w:color="auto"/>
            </w:tcBorders>
          </w:tcPr>
          <w:p w:rsidR="000C4C09" w:rsidRPr="000C4C09" w:rsidRDefault="000C4C09" w:rsidP="000C4C09">
            <w:pPr>
              <w:rPr>
                <w:sz w:val="22"/>
              </w:rPr>
            </w:pPr>
            <w:r w:rsidRPr="000C4C09">
              <w:rPr>
                <w:sz w:val="22"/>
              </w:rPr>
              <w:t>40 CR 63, Subpart DDDDD, NESHAP for Major Sources:  Industrial, Commercial, and Institutional Boilers and Process Heaters</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z w:val="22"/>
                <w:szCs w:val="22"/>
              </w:rPr>
              <w:t>026</w:t>
            </w:r>
          </w:p>
        </w:tc>
      </w:tr>
      <w:tr w:rsidR="000C4C09" w:rsidRPr="000C4C09" w:rsidTr="000C4C09">
        <w:tc>
          <w:tcPr>
            <w:tcW w:w="6807" w:type="dxa"/>
            <w:tcBorders>
              <w:top w:val="single" w:sz="6" w:space="0" w:color="auto"/>
              <w:bottom w:val="single" w:sz="8" w:space="0" w:color="auto"/>
              <w:right w:val="single" w:sz="12" w:space="0" w:color="auto"/>
            </w:tcBorders>
          </w:tcPr>
          <w:p w:rsidR="000C4C09" w:rsidRPr="000C4C09" w:rsidRDefault="000C4C09" w:rsidP="000C4C09">
            <w:pPr>
              <w:rPr>
                <w:sz w:val="22"/>
              </w:rPr>
            </w:pPr>
            <w:r w:rsidRPr="000C4C09">
              <w:rPr>
                <w:sz w:val="22"/>
              </w:rPr>
              <w:t>40 CFR 63, Subpart UUUUU, NESHAP:  Coal- and Oil-fired Electric Utility Steam Generating Units</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z w:val="22"/>
                <w:szCs w:val="22"/>
              </w:rPr>
              <w:t>001, 002</w:t>
            </w:r>
          </w:p>
        </w:tc>
      </w:tr>
      <w:tr w:rsidR="000C4C09" w:rsidRPr="000C4C09" w:rsidTr="000C4C09">
        <w:tc>
          <w:tcPr>
            <w:tcW w:w="6807" w:type="dxa"/>
            <w:tcBorders>
              <w:top w:val="single" w:sz="6" w:space="0" w:color="auto"/>
              <w:bottom w:val="single" w:sz="8" w:space="0" w:color="auto"/>
              <w:right w:val="single" w:sz="12" w:space="0" w:color="auto"/>
            </w:tcBorders>
          </w:tcPr>
          <w:p w:rsidR="000C4C09" w:rsidRPr="000C4C09" w:rsidRDefault="000C4C09" w:rsidP="000C4C09">
            <w:pPr>
              <w:rPr>
                <w:sz w:val="22"/>
              </w:rPr>
            </w:pPr>
            <w:r w:rsidRPr="000C4C09">
              <w:rPr>
                <w:sz w:val="22"/>
              </w:rPr>
              <w:t>40 CFR 64, Compliance Assurance Monitoring (CAM)</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z w:val="22"/>
                <w:szCs w:val="22"/>
              </w:rPr>
              <w:t>001, 002</w:t>
            </w:r>
          </w:p>
        </w:tc>
      </w:tr>
      <w:tr w:rsidR="000C4C09" w:rsidRPr="000C4C09" w:rsidTr="000C4C09">
        <w:tc>
          <w:tcPr>
            <w:tcW w:w="6807" w:type="dxa"/>
            <w:tcBorders>
              <w:top w:val="single" w:sz="6" w:space="0" w:color="auto"/>
              <w:bottom w:val="single" w:sz="8" w:space="0" w:color="auto"/>
              <w:right w:val="single" w:sz="12" w:space="0" w:color="auto"/>
            </w:tcBorders>
            <w:vAlign w:val="center"/>
          </w:tcPr>
          <w:p w:rsidR="000C4C09" w:rsidRPr="000C4C09" w:rsidRDefault="000C4C09" w:rsidP="000C4C09">
            <w:pPr>
              <w:rPr>
                <w:sz w:val="22"/>
              </w:rPr>
            </w:pPr>
            <w:r w:rsidRPr="000C4C09">
              <w:rPr>
                <w:sz w:val="22"/>
              </w:rPr>
              <w:t>40 CFR 75, Acid Rain Monitoring Provisions</w:t>
            </w:r>
          </w:p>
        </w:tc>
        <w:tc>
          <w:tcPr>
            <w:tcW w:w="3147" w:type="dxa"/>
            <w:tcBorders>
              <w:top w:val="single" w:sz="6" w:space="0" w:color="auto"/>
              <w:left w:val="single" w:sz="12" w:space="0" w:color="auto"/>
              <w:bottom w:val="single" w:sz="4" w:space="0" w:color="auto"/>
            </w:tcBorders>
            <w:vAlign w:val="center"/>
          </w:tcPr>
          <w:p w:rsidR="000C4C09" w:rsidRPr="000C4C09" w:rsidRDefault="000C4C09" w:rsidP="000C4C09">
            <w:pPr>
              <w:jc w:val="center"/>
              <w:rPr>
                <w:sz w:val="22"/>
              </w:rPr>
            </w:pPr>
            <w:r w:rsidRPr="000C4C09">
              <w:rPr>
                <w:sz w:val="22"/>
                <w:szCs w:val="22"/>
              </w:rPr>
              <w:t>001, 002, 003, 004, 005, 006, 011, 012, 017, 018</w:t>
            </w:r>
          </w:p>
        </w:tc>
      </w:tr>
      <w:tr w:rsidR="000C4C09" w:rsidRPr="000C4C09" w:rsidTr="000C4C09">
        <w:tc>
          <w:tcPr>
            <w:tcW w:w="9954" w:type="dxa"/>
            <w:gridSpan w:val="2"/>
            <w:tcBorders>
              <w:top w:val="single" w:sz="6" w:space="0" w:color="auto"/>
              <w:bottom w:val="single" w:sz="8" w:space="0" w:color="auto"/>
            </w:tcBorders>
          </w:tcPr>
          <w:p w:rsidR="000C4C09" w:rsidRPr="000C4C09" w:rsidRDefault="000C4C09" w:rsidP="000C4C09">
            <w:pPr>
              <w:jc w:val="center"/>
              <w:rPr>
                <w:sz w:val="22"/>
              </w:rPr>
            </w:pPr>
            <w:r w:rsidRPr="000C4C09">
              <w:rPr>
                <w:i/>
                <w:sz w:val="22"/>
              </w:rPr>
              <w:t>State Rule Citations</w:t>
            </w:r>
          </w:p>
        </w:tc>
      </w:tr>
      <w:tr w:rsidR="000C4C09" w:rsidRPr="000C4C09" w:rsidTr="000C4C09">
        <w:tc>
          <w:tcPr>
            <w:tcW w:w="6807" w:type="dxa"/>
            <w:tcBorders>
              <w:top w:val="single" w:sz="8" w:space="0" w:color="auto"/>
              <w:bottom w:val="single" w:sz="8" w:space="0" w:color="auto"/>
            </w:tcBorders>
            <w:vAlign w:val="center"/>
          </w:tcPr>
          <w:p w:rsidR="000C4C09" w:rsidRPr="000C4C09" w:rsidRDefault="000C4C09" w:rsidP="000C4C09">
            <w:pPr>
              <w:rPr>
                <w:sz w:val="22"/>
                <w:highlight w:val="yellow"/>
              </w:rPr>
            </w:pPr>
            <w:r w:rsidRPr="000C4C09">
              <w:rPr>
                <w:sz w:val="22"/>
                <w:szCs w:val="22"/>
              </w:rPr>
              <w:t xml:space="preserve">Chapter 62-4, </w:t>
            </w:r>
            <w:r w:rsidRPr="000C4C09">
              <w:rPr>
                <w:strike/>
                <w:sz w:val="22"/>
                <w:szCs w:val="22"/>
                <w:highlight w:val="yellow"/>
              </w:rPr>
              <w:t>Florida Administrative Code (</w:t>
            </w:r>
            <w:r w:rsidRPr="000C4C09">
              <w:rPr>
                <w:sz w:val="22"/>
                <w:szCs w:val="22"/>
              </w:rPr>
              <w:t>F.A.C.</w:t>
            </w:r>
            <w:r w:rsidRPr="000C4C09">
              <w:rPr>
                <w:strike/>
                <w:sz w:val="22"/>
                <w:szCs w:val="22"/>
                <w:highlight w:val="yellow"/>
              </w:rPr>
              <w:t>) (Permitting Requirements)</w:t>
            </w:r>
            <w:r w:rsidRPr="000C4C09">
              <w:rPr>
                <w:sz w:val="22"/>
                <w:szCs w:val="22"/>
                <w:highlight w:val="yellow"/>
                <w:u w:val="double"/>
              </w:rPr>
              <w:t>, Permits</w:t>
            </w:r>
          </w:p>
        </w:tc>
        <w:tc>
          <w:tcPr>
            <w:tcW w:w="3147" w:type="dxa"/>
            <w:vMerge w:val="restart"/>
            <w:tcBorders>
              <w:top w:val="single" w:sz="4" w:space="0" w:color="auto"/>
            </w:tcBorders>
            <w:vAlign w:val="center"/>
          </w:tcPr>
          <w:p w:rsidR="000C4C09" w:rsidRPr="000C4C09" w:rsidRDefault="000C4C09" w:rsidP="000C4C09">
            <w:pPr>
              <w:jc w:val="center"/>
              <w:rPr>
                <w:sz w:val="22"/>
              </w:rPr>
            </w:pPr>
            <w:r w:rsidRPr="000C4C09">
              <w:rPr>
                <w:sz w:val="22"/>
                <w:szCs w:val="22"/>
              </w:rPr>
              <w:t xml:space="preserve">001, 002, 003, 004, 005, 006, </w:t>
            </w:r>
            <w:r w:rsidRPr="000C4C09">
              <w:rPr>
                <w:strike/>
                <w:sz w:val="22"/>
                <w:szCs w:val="22"/>
                <w:highlight w:val="yellow"/>
              </w:rPr>
              <w:t>009,</w:t>
            </w:r>
            <w:r w:rsidRPr="000C4C09">
              <w:rPr>
                <w:sz w:val="22"/>
                <w:szCs w:val="22"/>
              </w:rPr>
              <w:t xml:space="preserve"> 011, 012, 017, 018, 019, 026</w:t>
            </w:r>
          </w:p>
        </w:tc>
      </w:tr>
      <w:tr w:rsidR="000C4C09" w:rsidRPr="000C4C09" w:rsidTr="000C4C09">
        <w:tc>
          <w:tcPr>
            <w:tcW w:w="6807" w:type="dxa"/>
            <w:tcBorders>
              <w:top w:val="single" w:sz="8" w:space="0" w:color="auto"/>
              <w:bottom w:val="single" w:sz="8" w:space="0" w:color="auto"/>
            </w:tcBorders>
            <w:vAlign w:val="center"/>
          </w:tcPr>
          <w:p w:rsidR="000C4C09" w:rsidRPr="000C4C09" w:rsidRDefault="000C4C09" w:rsidP="000C4C09">
            <w:pPr>
              <w:rPr>
                <w:sz w:val="22"/>
                <w:highlight w:val="yellow"/>
              </w:rPr>
            </w:pPr>
            <w:r w:rsidRPr="000C4C09">
              <w:rPr>
                <w:strike/>
                <w:sz w:val="22"/>
                <w:szCs w:val="22"/>
                <w:highlight w:val="yellow"/>
              </w:rPr>
              <w:t>Chapter</w:t>
            </w:r>
            <w:r w:rsidRPr="000C4C09">
              <w:rPr>
                <w:sz w:val="22"/>
                <w:szCs w:val="22"/>
              </w:rPr>
              <w:t xml:space="preserve"> </w:t>
            </w:r>
            <w:r w:rsidRPr="000C4C09">
              <w:rPr>
                <w:sz w:val="22"/>
                <w:szCs w:val="22"/>
                <w:highlight w:val="yellow"/>
                <w:u w:val="double"/>
              </w:rPr>
              <w:t>Rule</w:t>
            </w:r>
            <w:r w:rsidRPr="000C4C09">
              <w:rPr>
                <w:sz w:val="22"/>
                <w:szCs w:val="22"/>
              </w:rPr>
              <w:t xml:space="preserve"> 62-204</w:t>
            </w:r>
            <w:r w:rsidRPr="000C4C09">
              <w:rPr>
                <w:sz w:val="22"/>
                <w:szCs w:val="22"/>
                <w:highlight w:val="yellow"/>
                <w:u w:val="double"/>
              </w:rPr>
              <w:t>.800</w:t>
            </w:r>
            <w:r w:rsidRPr="000C4C09">
              <w:rPr>
                <w:sz w:val="22"/>
                <w:szCs w:val="22"/>
              </w:rPr>
              <w:t>, F.A.C.</w:t>
            </w:r>
            <w:r w:rsidRPr="000C4C09">
              <w:rPr>
                <w:sz w:val="22"/>
                <w:szCs w:val="22"/>
                <w:highlight w:val="yellow"/>
                <w:u w:val="double"/>
              </w:rPr>
              <w:t>,</w:t>
            </w:r>
            <w:r w:rsidRPr="000C4C09">
              <w:rPr>
                <w:sz w:val="22"/>
                <w:szCs w:val="22"/>
              </w:rPr>
              <w:t xml:space="preserve"> </w:t>
            </w:r>
            <w:r w:rsidRPr="000C4C09">
              <w:rPr>
                <w:strike/>
                <w:sz w:val="22"/>
                <w:szCs w:val="22"/>
                <w:highlight w:val="yellow"/>
              </w:rPr>
              <w:t>(Ambient Air Quality Requirements, PSD Increments, and</w:t>
            </w:r>
            <w:r w:rsidRPr="000C4C09">
              <w:rPr>
                <w:sz w:val="22"/>
                <w:szCs w:val="22"/>
              </w:rPr>
              <w:t xml:space="preserve"> Federal Regulations Adopted by Reference</w:t>
            </w:r>
            <w:r w:rsidRPr="000C4C09">
              <w:rPr>
                <w:strike/>
                <w:sz w:val="22"/>
                <w:szCs w:val="22"/>
                <w:highlight w:val="yellow"/>
              </w:rPr>
              <w:t>)</w:t>
            </w:r>
          </w:p>
        </w:tc>
        <w:tc>
          <w:tcPr>
            <w:tcW w:w="3147" w:type="dxa"/>
            <w:vMerge/>
          </w:tcPr>
          <w:p w:rsidR="000C4C09" w:rsidRPr="000C4C09" w:rsidRDefault="000C4C09" w:rsidP="000C4C09">
            <w:pPr>
              <w:rPr>
                <w:sz w:val="22"/>
              </w:rPr>
            </w:pPr>
          </w:p>
        </w:tc>
      </w:tr>
      <w:tr w:rsidR="000C4C09" w:rsidRPr="000C4C09" w:rsidTr="000C4C09">
        <w:tc>
          <w:tcPr>
            <w:tcW w:w="6807" w:type="dxa"/>
            <w:tcBorders>
              <w:top w:val="single" w:sz="8" w:space="0" w:color="auto"/>
              <w:bottom w:val="single" w:sz="8" w:space="0" w:color="auto"/>
            </w:tcBorders>
            <w:vAlign w:val="center"/>
          </w:tcPr>
          <w:p w:rsidR="000C4C09" w:rsidRPr="000C4C09" w:rsidRDefault="000C4C09" w:rsidP="000C4C09">
            <w:pPr>
              <w:rPr>
                <w:sz w:val="22"/>
              </w:rPr>
            </w:pPr>
            <w:r w:rsidRPr="000C4C09">
              <w:rPr>
                <w:sz w:val="22"/>
                <w:szCs w:val="22"/>
              </w:rPr>
              <w:t>Chapter 62-210, F.A.C.</w:t>
            </w:r>
            <w:r w:rsidRPr="000C4C09">
              <w:rPr>
                <w:sz w:val="22"/>
                <w:szCs w:val="22"/>
                <w:highlight w:val="yellow"/>
                <w:u w:val="double"/>
              </w:rPr>
              <w:t>, Stationary Sources – General Requirements</w:t>
            </w:r>
            <w:r w:rsidRPr="000C4C09">
              <w:rPr>
                <w:sz w:val="22"/>
                <w:szCs w:val="22"/>
              </w:rPr>
              <w:t xml:space="preserve"> </w:t>
            </w:r>
            <w:r w:rsidRPr="000C4C09">
              <w:rPr>
                <w:strike/>
                <w:sz w:val="22"/>
                <w:szCs w:val="22"/>
                <w:highlight w:val="yellow"/>
              </w:rPr>
              <w:t>(Permits Required, Public Notice, Reports, Stack Height Policy, Circumvention, Excess Emissions, and Forms)</w:t>
            </w:r>
          </w:p>
        </w:tc>
        <w:tc>
          <w:tcPr>
            <w:tcW w:w="3147" w:type="dxa"/>
            <w:vMerge/>
          </w:tcPr>
          <w:p w:rsidR="000C4C09" w:rsidRPr="000C4C09" w:rsidRDefault="000C4C09" w:rsidP="000C4C09">
            <w:pPr>
              <w:rPr>
                <w:sz w:val="22"/>
              </w:rPr>
            </w:pPr>
          </w:p>
        </w:tc>
      </w:tr>
      <w:tr w:rsidR="000C4C09" w:rsidRPr="000C4C09" w:rsidTr="000C4C09">
        <w:tc>
          <w:tcPr>
            <w:tcW w:w="6807" w:type="dxa"/>
            <w:tcBorders>
              <w:top w:val="single" w:sz="8" w:space="0" w:color="auto"/>
              <w:bottom w:val="single" w:sz="8" w:space="0" w:color="auto"/>
            </w:tcBorders>
            <w:vAlign w:val="center"/>
          </w:tcPr>
          <w:p w:rsidR="000C4C09" w:rsidRPr="000C4C09" w:rsidRDefault="000C4C09" w:rsidP="000C4C09">
            <w:pPr>
              <w:rPr>
                <w:sz w:val="22"/>
              </w:rPr>
            </w:pPr>
            <w:r w:rsidRPr="000C4C09">
              <w:rPr>
                <w:sz w:val="22"/>
                <w:szCs w:val="22"/>
              </w:rPr>
              <w:t>Chapter 62-212, F.A.C.</w:t>
            </w:r>
            <w:r w:rsidRPr="000C4C09">
              <w:rPr>
                <w:sz w:val="22"/>
                <w:szCs w:val="22"/>
                <w:highlight w:val="yellow"/>
                <w:u w:val="double"/>
              </w:rPr>
              <w:t>, Stationary Sources –</w:t>
            </w:r>
            <w:r w:rsidRPr="000C4C09">
              <w:rPr>
                <w:sz w:val="22"/>
                <w:szCs w:val="22"/>
              </w:rPr>
              <w:t xml:space="preserve"> </w:t>
            </w:r>
            <w:r w:rsidRPr="000C4C09">
              <w:rPr>
                <w:strike/>
                <w:sz w:val="22"/>
                <w:szCs w:val="22"/>
                <w:highlight w:val="yellow"/>
              </w:rPr>
              <w:t>(</w:t>
            </w:r>
            <w:r w:rsidRPr="000C4C09">
              <w:rPr>
                <w:sz w:val="22"/>
                <w:szCs w:val="22"/>
              </w:rPr>
              <w:t>Preconstruction Review</w:t>
            </w:r>
            <w:r w:rsidRPr="000C4C09">
              <w:rPr>
                <w:strike/>
                <w:sz w:val="22"/>
                <w:szCs w:val="22"/>
                <w:highlight w:val="yellow"/>
              </w:rPr>
              <w:t>, PSD Review and Best Available Control Technology (BACT))</w:t>
            </w:r>
          </w:p>
        </w:tc>
        <w:tc>
          <w:tcPr>
            <w:tcW w:w="3147" w:type="dxa"/>
          </w:tcPr>
          <w:p w:rsidR="000C4C09" w:rsidRPr="000C4C09" w:rsidRDefault="000C4C09" w:rsidP="000C4C09">
            <w:pPr>
              <w:rPr>
                <w:sz w:val="22"/>
              </w:rPr>
            </w:pPr>
            <w:r w:rsidRPr="000C4C09">
              <w:rPr>
                <w:strike/>
                <w:sz w:val="22"/>
                <w:szCs w:val="22"/>
                <w:highlight w:val="yellow"/>
              </w:rPr>
              <w:t>001, 002,</w:t>
            </w:r>
            <w:r w:rsidRPr="000C4C09">
              <w:rPr>
                <w:sz w:val="22"/>
                <w:szCs w:val="22"/>
              </w:rPr>
              <w:t xml:space="preserve"> 003, 004, 005, 006, </w:t>
            </w:r>
            <w:r w:rsidRPr="000C4C09">
              <w:rPr>
                <w:strike/>
                <w:sz w:val="22"/>
                <w:szCs w:val="22"/>
                <w:highlight w:val="yellow"/>
              </w:rPr>
              <w:t>009,</w:t>
            </w:r>
            <w:r w:rsidRPr="000C4C09">
              <w:rPr>
                <w:sz w:val="22"/>
                <w:szCs w:val="22"/>
              </w:rPr>
              <w:t xml:space="preserve"> 011, 012, </w:t>
            </w:r>
            <w:r w:rsidRPr="000C4C09">
              <w:rPr>
                <w:sz w:val="22"/>
                <w:szCs w:val="22"/>
                <w:highlight w:val="yellow"/>
                <w:u w:val="double"/>
              </w:rPr>
              <w:t>014,</w:t>
            </w:r>
            <w:r w:rsidRPr="000C4C09">
              <w:rPr>
                <w:sz w:val="22"/>
                <w:szCs w:val="22"/>
              </w:rPr>
              <w:t xml:space="preserve"> 017, 018, 019, 026</w:t>
            </w:r>
          </w:p>
        </w:tc>
      </w:tr>
      <w:tr w:rsidR="000C4C09" w:rsidRPr="000C4C09" w:rsidTr="000C4C09">
        <w:tc>
          <w:tcPr>
            <w:tcW w:w="6807" w:type="dxa"/>
            <w:tcBorders>
              <w:top w:val="single" w:sz="8" w:space="0" w:color="auto"/>
              <w:bottom w:val="single" w:sz="8" w:space="0" w:color="auto"/>
            </w:tcBorders>
            <w:vAlign w:val="center"/>
          </w:tcPr>
          <w:p w:rsidR="000C4C09" w:rsidRPr="000C4C09" w:rsidRDefault="000C4C09" w:rsidP="000C4C09">
            <w:pPr>
              <w:rPr>
                <w:strike/>
                <w:sz w:val="22"/>
                <w:highlight w:val="yellow"/>
              </w:rPr>
            </w:pPr>
            <w:r w:rsidRPr="000C4C09">
              <w:rPr>
                <w:strike/>
                <w:sz w:val="22"/>
                <w:szCs w:val="22"/>
                <w:highlight w:val="yellow"/>
              </w:rPr>
              <w:t>Chapter 62-213, F.A.C. (Title V Air Operation Permits for Major Sources of Air Pollution)</w:t>
            </w:r>
          </w:p>
        </w:tc>
        <w:tc>
          <w:tcPr>
            <w:tcW w:w="3147" w:type="dxa"/>
            <w:tcBorders>
              <w:bottom w:val="single" w:sz="4" w:space="0" w:color="auto"/>
            </w:tcBorders>
          </w:tcPr>
          <w:p w:rsidR="000C4C09" w:rsidRPr="000C4C09" w:rsidRDefault="000C4C09" w:rsidP="000C4C09">
            <w:pPr>
              <w:jc w:val="center"/>
              <w:rPr>
                <w:strike/>
                <w:sz w:val="22"/>
                <w:highlight w:val="yellow"/>
              </w:rPr>
            </w:pPr>
            <w:r w:rsidRPr="000C4C09">
              <w:rPr>
                <w:strike/>
                <w:sz w:val="22"/>
                <w:szCs w:val="22"/>
                <w:highlight w:val="yellow"/>
              </w:rPr>
              <w:t>001, 002, 003, 004, 005, 006, 009, 011, 012, 017, 018, 019, 026</w:t>
            </w:r>
          </w:p>
        </w:tc>
      </w:tr>
      <w:tr w:rsidR="000C4C09" w:rsidRPr="000C4C09" w:rsidTr="000C4C09">
        <w:tc>
          <w:tcPr>
            <w:tcW w:w="6807" w:type="dxa"/>
            <w:tcBorders>
              <w:top w:val="single" w:sz="8" w:space="0" w:color="auto"/>
              <w:bottom w:val="single" w:sz="8" w:space="0" w:color="auto"/>
            </w:tcBorders>
            <w:vAlign w:val="center"/>
          </w:tcPr>
          <w:p w:rsidR="000C4C09" w:rsidRPr="000C4C09" w:rsidRDefault="000C4C09" w:rsidP="000C4C09">
            <w:pPr>
              <w:rPr>
                <w:sz w:val="22"/>
              </w:rPr>
            </w:pPr>
            <w:r w:rsidRPr="000C4C09">
              <w:rPr>
                <w:sz w:val="22"/>
                <w:szCs w:val="22"/>
              </w:rPr>
              <w:t>Chapter 62-214, F.A.C. (</w:t>
            </w:r>
            <w:r w:rsidRPr="000C4C09">
              <w:rPr>
                <w:color w:val="000000"/>
                <w:sz w:val="22"/>
                <w:szCs w:val="22"/>
              </w:rPr>
              <w:t>Requirements For Sources Subject To The Federal Acid Rain Program)</w:t>
            </w:r>
          </w:p>
        </w:tc>
        <w:tc>
          <w:tcPr>
            <w:tcW w:w="3147" w:type="dxa"/>
            <w:tcBorders>
              <w:top w:val="single" w:sz="4" w:space="0" w:color="auto"/>
              <w:bottom w:val="single" w:sz="4" w:space="0" w:color="auto"/>
            </w:tcBorders>
            <w:vAlign w:val="center"/>
          </w:tcPr>
          <w:p w:rsidR="000C4C09" w:rsidRPr="000C4C09" w:rsidRDefault="000C4C09" w:rsidP="000C4C09">
            <w:pPr>
              <w:jc w:val="center"/>
              <w:rPr>
                <w:sz w:val="22"/>
              </w:rPr>
            </w:pPr>
            <w:r w:rsidRPr="000C4C09">
              <w:rPr>
                <w:sz w:val="22"/>
                <w:szCs w:val="22"/>
              </w:rPr>
              <w:t>001, 002, 003, 004, 005, 006, 011, 012, 017, 018</w:t>
            </w:r>
          </w:p>
        </w:tc>
      </w:tr>
      <w:tr w:rsidR="000C4C09" w:rsidRPr="000C4C09" w:rsidTr="000C4C09">
        <w:tc>
          <w:tcPr>
            <w:tcW w:w="6807" w:type="dxa"/>
            <w:tcBorders>
              <w:top w:val="single" w:sz="8" w:space="0" w:color="auto"/>
              <w:bottom w:val="single" w:sz="8" w:space="0" w:color="auto"/>
            </w:tcBorders>
            <w:vAlign w:val="center"/>
          </w:tcPr>
          <w:p w:rsidR="000C4C09" w:rsidRPr="000C4C09" w:rsidRDefault="000C4C09" w:rsidP="000C4C09">
            <w:pPr>
              <w:rPr>
                <w:strike/>
                <w:sz w:val="22"/>
              </w:rPr>
            </w:pPr>
            <w:r w:rsidRPr="000C4C09">
              <w:rPr>
                <w:strike/>
                <w:sz w:val="22"/>
                <w:szCs w:val="22"/>
                <w:highlight w:val="yellow"/>
              </w:rPr>
              <w:t>Chapter 62-296, F.A.C. (Emission Limiting Standards)</w:t>
            </w:r>
          </w:p>
        </w:tc>
        <w:tc>
          <w:tcPr>
            <w:tcW w:w="3147" w:type="dxa"/>
            <w:tcBorders>
              <w:top w:val="single" w:sz="4" w:space="0" w:color="auto"/>
            </w:tcBorders>
            <w:vAlign w:val="center"/>
          </w:tcPr>
          <w:p w:rsidR="000C4C09" w:rsidRPr="000C4C09" w:rsidRDefault="000C4C09" w:rsidP="000C4C09">
            <w:pPr>
              <w:jc w:val="center"/>
              <w:rPr>
                <w:strike/>
                <w:sz w:val="22"/>
                <w:highlight w:val="yellow"/>
              </w:rPr>
            </w:pPr>
            <w:r w:rsidRPr="000C4C09">
              <w:rPr>
                <w:strike/>
                <w:sz w:val="22"/>
                <w:szCs w:val="22"/>
                <w:highlight w:val="yellow"/>
              </w:rPr>
              <w:t>001, 002, 003, 004, 005, 006, 009, 011, 012, 017, 018, 019, 026</w:t>
            </w:r>
          </w:p>
        </w:tc>
      </w:tr>
      <w:tr w:rsidR="000C4C09" w:rsidRPr="000C4C09" w:rsidTr="000C4C09">
        <w:tc>
          <w:tcPr>
            <w:tcW w:w="6807" w:type="dxa"/>
            <w:tcBorders>
              <w:top w:val="single" w:sz="8" w:space="0" w:color="auto"/>
            </w:tcBorders>
            <w:vAlign w:val="center"/>
          </w:tcPr>
          <w:p w:rsidR="000C4C09" w:rsidRPr="000C4C09" w:rsidRDefault="000C4C09" w:rsidP="000C4C09">
            <w:pPr>
              <w:rPr>
                <w:sz w:val="22"/>
                <w:szCs w:val="22"/>
                <w:highlight w:val="yellow"/>
                <w:u w:val="double"/>
              </w:rPr>
            </w:pPr>
            <w:r w:rsidRPr="000C4C09">
              <w:rPr>
                <w:sz w:val="22"/>
                <w:szCs w:val="22"/>
                <w:highlight w:val="yellow"/>
                <w:u w:val="double"/>
              </w:rPr>
              <w:t>Rule 62-296.405, F.A.C., Fossil Fuel Steam Generators with More Than 250 Million Btu Per Hour Heat Input</w:t>
            </w:r>
          </w:p>
        </w:tc>
        <w:tc>
          <w:tcPr>
            <w:tcW w:w="3147" w:type="dxa"/>
            <w:vAlign w:val="center"/>
          </w:tcPr>
          <w:p w:rsidR="000C4C09" w:rsidRPr="000C4C09" w:rsidRDefault="000C4C09" w:rsidP="000C4C09">
            <w:pPr>
              <w:jc w:val="center"/>
              <w:rPr>
                <w:sz w:val="22"/>
                <w:highlight w:val="yellow"/>
                <w:u w:val="double"/>
              </w:rPr>
            </w:pPr>
            <w:r w:rsidRPr="000C4C09">
              <w:rPr>
                <w:sz w:val="22"/>
                <w:highlight w:val="yellow"/>
                <w:u w:val="double"/>
              </w:rPr>
              <w:t>001, 002</w:t>
            </w:r>
          </w:p>
        </w:tc>
      </w:tr>
      <w:tr w:rsidR="000C4C09" w:rsidRPr="000C4C09" w:rsidTr="000C4C09">
        <w:tc>
          <w:tcPr>
            <w:tcW w:w="6807" w:type="dxa"/>
            <w:tcBorders>
              <w:top w:val="single" w:sz="8" w:space="0" w:color="auto"/>
            </w:tcBorders>
            <w:vAlign w:val="center"/>
          </w:tcPr>
          <w:p w:rsidR="000C4C09" w:rsidRPr="000C4C09" w:rsidRDefault="000C4C09" w:rsidP="000C4C09">
            <w:pPr>
              <w:rPr>
                <w:sz w:val="22"/>
                <w:szCs w:val="22"/>
                <w:highlight w:val="yellow"/>
                <w:u w:val="double"/>
              </w:rPr>
            </w:pPr>
            <w:r w:rsidRPr="000C4C09">
              <w:rPr>
                <w:sz w:val="22"/>
                <w:szCs w:val="22"/>
                <w:highlight w:val="yellow"/>
                <w:u w:val="double"/>
              </w:rPr>
              <w:t>Rule 62-296.406, F.A.C., Fossil Fuel Steam Generators with Less Than 250 Million Btu Per Hour Heat Input, New and Existing Emissions Units</w:t>
            </w:r>
          </w:p>
        </w:tc>
        <w:tc>
          <w:tcPr>
            <w:tcW w:w="3147" w:type="dxa"/>
            <w:vAlign w:val="center"/>
          </w:tcPr>
          <w:p w:rsidR="000C4C09" w:rsidRPr="000C4C09" w:rsidRDefault="000C4C09" w:rsidP="000C4C09">
            <w:pPr>
              <w:jc w:val="center"/>
              <w:rPr>
                <w:sz w:val="22"/>
                <w:highlight w:val="yellow"/>
                <w:u w:val="double"/>
              </w:rPr>
            </w:pPr>
            <w:r w:rsidRPr="000C4C09">
              <w:rPr>
                <w:sz w:val="22"/>
                <w:highlight w:val="yellow"/>
                <w:u w:val="double"/>
              </w:rPr>
              <w:t>026</w:t>
            </w:r>
          </w:p>
        </w:tc>
      </w:tr>
      <w:tr w:rsidR="000C4C09" w:rsidRPr="000C4C09" w:rsidTr="000C4C09">
        <w:tc>
          <w:tcPr>
            <w:tcW w:w="6807" w:type="dxa"/>
            <w:tcBorders>
              <w:top w:val="single" w:sz="8" w:space="0" w:color="auto"/>
            </w:tcBorders>
            <w:vAlign w:val="center"/>
          </w:tcPr>
          <w:p w:rsidR="000C4C09" w:rsidRPr="000C4C09" w:rsidRDefault="000C4C09" w:rsidP="000C4C09">
            <w:pPr>
              <w:rPr>
                <w:sz w:val="22"/>
              </w:rPr>
            </w:pPr>
            <w:r w:rsidRPr="000C4C09">
              <w:rPr>
                <w:sz w:val="22"/>
                <w:szCs w:val="22"/>
              </w:rPr>
              <w:t>Chapter 62-297, F.A.C. (Test Methods and Procedures, Continuous Monitoring Specifications, and Alternate Sampling Procedures)</w:t>
            </w:r>
          </w:p>
        </w:tc>
        <w:tc>
          <w:tcPr>
            <w:tcW w:w="3147" w:type="dxa"/>
          </w:tcPr>
          <w:p w:rsidR="000C4C09" w:rsidRPr="000C4C09" w:rsidRDefault="000C4C09" w:rsidP="000C4C09">
            <w:pPr>
              <w:jc w:val="center"/>
              <w:rPr>
                <w:sz w:val="22"/>
              </w:rPr>
            </w:pPr>
            <w:r w:rsidRPr="000C4C09">
              <w:rPr>
                <w:sz w:val="22"/>
                <w:szCs w:val="22"/>
              </w:rPr>
              <w:t xml:space="preserve">001, 002, 003, 004, 005, 006, </w:t>
            </w:r>
            <w:r w:rsidRPr="000C4C09">
              <w:rPr>
                <w:strike/>
                <w:sz w:val="22"/>
                <w:szCs w:val="22"/>
                <w:highlight w:val="yellow"/>
              </w:rPr>
              <w:t>009,</w:t>
            </w:r>
            <w:r w:rsidRPr="000C4C09">
              <w:rPr>
                <w:sz w:val="22"/>
                <w:szCs w:val="22"/>
              </w:rPr>
              <w:t xml:space="preserve"> 011, 012, 017, 018, </w:t>
            </w:r>
            <w:r w:rsidRPr="000C4C09">
              <w:rPr>
                <w:strike/>
                <w:sz w:val="22"/>
                <w:szCs w:val="22"/>
                <w:highlight w:val="yellow"/>
              </w:rPr>
              <w:t>019,</w:t>
            </w:r>
            <w:r w:rsidRPr="000C4C09">
              <w:rPr>
                <w:sz w:val="22"/>
                <w:szCs w:val="22"/>
              </w:rPr>
              <w:t xml:space="preserve"> 026</w:t>
            </w:r>
          </w:p>
        </w:tc>
      </w:tr>
    </w:tbl>
    <w:p w:rsidR="000C4C09" w:rsidRDefault="00A17F57" w:rsidP="00A17F57">
      <w:pPr>
        <w:pStyle w:val="ListParagraph"/>
        <w:tabs>
          <w:tab w:val="left" w:pos="360"/>
        </w:tabs>
        <w:spacing w:before="120" w:after="120"/>
        <w:ind w:left="0"/>
        <w:contextualSpacing w:val="0"/>
        <w:rPr>
          <w:bCs/>
          <w:sz w:val="22"/>
          <w:szCs w:val="22"/>
        </w:rPr>
      </w:pPr>
      <w:r>
        <w:rPr>
          <w:b/>
          <w:bCs/>
          <w:sz w:val="22"/>
          <w:szCs w:val="22"/>
          <w:u w:val="single"/>
        </w:rPr>
        <w:t>Section III., Section A.</w:t>
      </w:r>
    </w:p>
    <w:p w:rsidR="00A17F57" w:rsidRDefault="00A17F57" w:rsidP="00CB423F">
      <w:pPr>
        <w:pStyle w:val="ListParagraph"/>
        <w:numPr>
          <w:ilvl w:val="0"/>
          <w:numId w:val="1"/>
        </w:numPr>
        <w:tabs>
          <w:tab w:val="left" w:pos="360"/>
        </w:tabs>
        <w:spacing w:after="120"/>
        <w:contextualSpacing w:val="0"/>
        <w:rPr>
          <w:bCs/>
          <w:sz w:val="22"/>
          <w:szCs w:val="22"/>
        </w:rPr>
      </w:pPr>
      <w:r>
        <w:rPr>
          <w:bCs/>
          <w:sz w:val="22"/>
          <w:szCs w:val="22"/>
        </w:rPr>
        <w:t>To reflect minor clarifications</w:t>
      </w:r>
      <w:r w:rsidR="0072626F">
        <w:rPr>
          <w:bCs/>
          <w:sz w:val="22"/>
          <w:szCs w:val="22"/>
        </w:rPr>
        <w:t>, clarifications in NESHAP Subpart UUUUU applicability</w:t>
      </w:r>
      <w:r>
        <w:rPr>
          <w:bCs/>
          <w:sz w:val="22"/>
          <w:szCs w:val="22"/>
        </w:rPr>
        <w:t xml:space="preserve"> and current Title V air operation permit format standards, the EU description has been revised as follows:</w:t>
      </w:r>
    </w:p>
    <w:p w:rsidR="00A17F57" w:rsidRPr="00A17F57" w:rsidRDefault="00A17F57" w:rsidP="00A17F57">
      <w:pPr>
        <w:spacing w:before="120" w:after="120"/>
        <w:ind w:left="360"/>
        <w:rPr>
          <w:sz w:val="22"/>
          <w:szCs w:val="22"/>
        </w:rPr>
      </w:pPr>
      <w:r w:rsidRPr="00A17F57">
        <w:rPr>
          <w:sz w:val="22"/>
          <w:szCs w:val="22"/>
        </w:rPr>
        <w:t>Each fossil fuel fired steam generator emissions unit is identical in configuration.  Each steam generator has a capacity of 863.3 MW and are equipped with low NO</w:t>
      </w:r>
      <w:r w:rsidRPr="00A17F57">
        <w:rPr>
          <w:sz w:val="22"/>
          <w:szCs w:val="22"/>
          <w:vertAlign w:val="subscript"/>
        </w:rPr>
        <w:t>X</w:t>
      </w:r>
      <w:r w:rsidRPr="00A17F57">
        <w:rPr>
          <w:sz w:val="22"/>
          <w:szCs w:val="22"/>
        </w:rPr>
        <w:t xml:space="preserve"> dual fuel firing burners to reduce emissions of NO</w:t>
      </w:r>
      <w:r w:rsidRPr="00A17F57">
        <w:rPr>
          <w:sz w:val="22"/>
          <w:szCs w:val="22"/>
          <w:vertAlign w:val="subscript"/>
        </w:rPr>
        <w:t>X</w:t>
      </w:r>
      <w:r w:rsidRPr="00A17F57">
        <w:rPr>
          <w:sz w:val="22"/>
          <w:szCs w:val="22"/>
        </w:rPr>
        <w:t>; and</w:t>
      </w:r>
      <w:r w:rsidRPr="00A17F57">
        <w:rPr>
          <w:sz w:val="22"/>
          <w:szCs w:val="22"/>
          <w:highlight w:val="yellow"/>
          <w:u w:val="double"/>
        </w:rPr>
        <w:t xml:space="preserve"> </w:t>
      </w:r>
      <w:r w:rsidRPr="00A17F57">
        <w:rPr>
          <w:sz w:val="22"/>
          <w:szCs w:val="22"/>
        </w:rPr>
        <w:t>dry electrostatic precipitator (ESPs), with fly ash reinjection, to control PM emissions.  In addition, the units have a continuous emission monitoring system (CEMS) for measuring NO</w:t>
      </w:r>
      <w:r w:rsidRPr="00A17F57">
        <w:rPr>
          <w:sz w:val="22"/>
          <w:szCs w:val="22"/>
          <w:vertAlign w:val="subscript"/>
        </w:rPr>
        <w:t>X</w:t>
      </w:r>
      <w:r w:rsidRPr="00A17F57">
        <w:rPr>
          <w:sz w:val="22"/>
          <w:szCs w:val="22"/>
        </w:rPr>
        <w:t xml:space="preserve"> and </w:t>
      </w:r>
      <w:r w:rsidRPr="00A17F57">
        <w:rPr>
          <w:sz w:val="22"/>
          <w:szCs w:val="22"/>
          <w:highlight w:val="yellow"/>
          <w:u w:val="double"/>
        </w:rPr>
        <w:t>sulfur dioxide</w:t>
      </w:r>
      <w:r w:rsidRPr="00A17F57">
        <w:rPr>
          <w:sz w:val="22"/>
          <w:szCs w:val="22"/>
        </w:rPr>
        <w:t xml:space="preserve"> (SO</w:t>
      </w:r>
      <w:r w:rsidRPr="00A17F57">
        <w:rPr>
          <w:sz w:val="22"/>
          <w:szCs w:val="22"/>
          <w:vertAlign w:val="subscript"/>
        </w:rPr>
        <w:t>2</w:t>
      </w:r>
      <w:r w:rsidRPr="00A17F57">
        <w:rPr>
          <w:sz w:val="22"/>
          <w:szCs w:val="22"/>
          <w:highlight w:val="yellow"/>
          <w:u w:val="double"/>
        </w:rPr>
        <w:t>)</w:t>
      </w:r>
      <w:r w:rsidRPr="00A17F57">
        <w:rPr>
          <w:sz w:val="22"/>
          <w:szCs w:val="22"/>
        </w:rPr>
        <w:t xml:space="preserve"> and a continuous opacity monitoring system (COMS) for measuring </w:t>
      </w:r>
      <w:r w:rsidRPr="00A17F57">
        <w:rPr>
          <w:strike/>
          <w:sz w:val="22"/>
          <w:szCs w:val="22"/>
          <w:highlight w:val="yellow"/>
        </w:rPr>
        <w:t>opacity</w:t>
      </w:r>
      <w:r w:rsidRPr="00A17F57">
        <w:rPr>
          <w:sz w:val="22"/>
          <w:szCs w:val="22"/>
        </w:rPr>
        <w:t xml:space="preserve"> </w:t>
      </w:r>
      <w:r w:rsidRPr="00A17F57">
        <w:rPr>
          <w:sz w:val="22"/>
          <w:szCs w:val="22"/>
          <w:highlight w:val="yellow"/>
          <w:u w:val="double"/>
        </w:rPr>
        <w:t>visible emissions (VE)</w:t>
      </w:r>
      <w:r w:rsidRPr="00A17F57">
        <w:rPr>
          <w:sz w:val="22"/>
          <w:szCs w:val="22"/>
        </w:rPr>
        <w:t>.  Steam Generator No. 1 commenced commercial operation in December 1980.  Steam Generator No. 2 commenced commercial operation in June 1981.  The stack parameters for both steam generators are:  499 feet in height; 36 feet in diameter; a flow rate of 2,634,519 actual cubic feet per minute (acfm) at a temperature of 338 degrees Fahrenheit (ºF); and exit velocity is 43.1 feet per second (fps).</w:t>
      </w:r>
    </w:p>
    <w:p w:rsidR="00AB5539" w:rsidRPr="00AB5539" w:rsidRDefault="00AB5539" w:rsidP="00AB5539">
      <w:pPr>
        <w:spacing w:before="120" w:after="120"/>
        <w:ind w:left="360"/>
        <w:rPr>
          <w:i/>
          <w:sz w:val="22"/>
          <w:u w:val="double"/>
        </w:rPr>
      </w:pPr>
      <w:bookmarkStart w:id="5" w:name="_Hlk519774629"/>
      <w:r w:rsidRPr="00AB5539">
        <w:rPr>
          <w:i/>
          <w:sz w:val="22"/>
          <w:highlight w:val="yellow"/>
          <w:u w:val="double"/>
        </w:rPr>
        <w:t xml:space="preserve">{Permitting Note:  These emissions units are regulated under:  40 CFR 60, Subpart A, General Provisions, and Subpart D, Standards of Performance for Fossil Fuel-Fired Steam Generators, adopted by reference in Rule 62-204.800(8)(d) and (8)(b)1., F.A.C., respectively; 40 CFR 63, Subpart A, General Provisions, and, Subpart UUUUU, NESHAP:  Coal- and Oil-Fired Electric Utility Steam Generating Units, adopted by reference in Rule 62-204.800(11)(d)1. and (11)(b)1., F.A.C., respectively; Rule 62-296.405, F.A.C., </w:t>
      </w:r>
      <w:r w:rsidRPr="00AB5539">
        <w:rPr>
          <w:i/>
          <w:sz w:val="22"/>
          <w:szCs w:val="22"/>
          <w:highlight w:val="yellow"/>
          <w:u w:val="double"/>
        </w:rPr>
        <w:t>Fossil Fuel Steam Generators with More Than 250 Million Btu Per Hour Heat Input; and,</w:t>
      </w:r>
      <w:r w:rsidRPr="00AB5539">
        <w:rPr>
          <w:i/>
          <w:sz w:val="22"/>
          <w:highlight w:val="yellow"/>
          <w:u w:val="double"/>
        </w:rPr>
        <w:t xml:space="preserve"> Chapter 62-214, F.A.C., the Phase II Acid Rain Program as specified in Section IV of this Permit.  These emissions units currently do not meet the definition of “oil-fired electric utility steam generating units”, in accordance with 40 CFR 63.10042, because these units have not burned oil for more than 10.0 percent(%) of the average annual heat input during the previous 3 calendar years or more than 15.0% of the annual heat input during any of the previous 3 calendar years.  These units currently meet the definition of “natural-gas fired electric utility steam generating units” in accordance with 40 CFR 63.10042.  In accordance with 40 CFR 63.9983(b), these units are currently not subject to 40 CFR 63, Subpart UUUUU, but shall be required to meet the provisions of this subpart if these units meet the definition of “oil-fired electric utility steam generating units”, pursuant to 40 CFR 63.9984(f).}</w:t>
      </w:r>
      <w:bookmarkEnd w:id="5"/>
    </w:p>
    <w:p w:rsidR="00A17F57" w:rsidRDefault="00A17F57" w:rsidP="00A17F57">
      <w:pPr>
        <w:tabs>
          <w:tab w:val="left" w:pos="360"/>
        </w:tabs>
        <w:spacing w:after="120"/>
        <w:ind w:left="360"/>
        <w:rPr>
          <w:i/>
          <w:strike/>
          <w:sz w:val="22"/>
          <w:szCs w:val="22"/>
          <w:highlight w:val="yellow"/>
        </w:rPr>
      </w:pPr>
      <w:r w:rsidRPr="00A17F57">
        <w:rPr>
          <w:i/>
          <w:strike/>
          <w:sz w:val="22"/>
          <w:szCs w:val="22"/>
          <w:highlight w:val="yellow"/>
        </w:rPr>
        <w:t>{Permitting Note:  The emissions units are regulated under Acid Rain, Phase II and NSPS – 40 CFR 60, Subpart D, Standards of Performance for Fossil-Fuel-Fired Steam Generators; adopted and incorporated by reference in Rule 62-204.800., F.A.C.  Units 1 and 2 are also subject to regulation pursuant to 40 CFR 63, Subpart UUUUU - National Emission Standards for Hazardous Air Pollutants (NESHAP) for Coal- and Oil-Fired Electric Utility Steam Generating Units, and must comply with the applicable requirements no later than April 16, 2015.  Construction permit No. 0850001-029-AC was issued on December 10, 2012 to authorize the installation of electrostatic precipitators (ESP) on these units in order to comply with Subpart UUUUU.  The construction of the ESP’s began in June 2013.}</w:t>
      </w:r>
    </w:p>
    <w:p w:rsidR="0072626F" w:rsidRDefault="00351A66" w:rsidP="00CB423F">
      <w:pPr>
        <w:pStyle w:val="ListParagraph"/>
        <w:numPr>
          <w:ilvl w:val="0"/>
          <w:numId w:val="1"/>
        </w:numPr>
        <w:tabs>
          <w:tab w:val="left" w:pos="360"/>
        </w:tabs>
        <w:spacing w:after="120"/>
        <w:contextualSpacing w:val="0"/>
        <w:rPr>
          <w:bCs/>
          <w:sz w:val="22"/>
          <w:szCs w:val="22"/>
        </w:rPr>
      </w:pPr>
      <w:r>
        <w:rPr>
          <w:bCs/>
          <w:sz w:val="22"/>
          <w:szCs w:val="22"/>
        </w:rPr>
        <w:t xml:space="preserve">Specific Condition </w:t>
      </w:r>
      <w:r>
        <w:rPr>
          <w:b/>
          <w:bCs/>
          <w:sz w:val="22"/>
          <w:szCs w:val="22"/>
        </w:rPr>
        <w:t>A.1</w:t>
      </w:r>
      <w:r>
        <w:rPr>
          <w:bCs/>
          <w:sz w:val="22"/>
          <w:szCs w:val="22"/>
        </w:rPr>
        <w:t xml:space="preserve"> has been revised to reflect current Title V air operation permit format standards as follows:</w:t>
      </w:r>
    </w:p>
    <w:p w:rsidR="00351A66" w:rsidRPr="00CC2A32" w:rsidRDefault="00351A66" w:rsidP="00CB423F">
      <w:pPr>
        <w:numPr>
          <w:ilvl w:val="0"/>
          <w:numId w:val="2"/>
        </w:numPr>
        <w:tabs>
          <w:tab w:val="clear" w:pos="1836"/>
        </w:tabs>
        <w:spacing w:after="120"/>
        <w:ind w:left="900" w:hanging="540"/>
        <w:rPr>
          <w:u w:val="single"/>
        </w:rPr>
      </w:pPr>
      <w:bookmarkStart w:id="6" w:name="_Ref519695010"/>
      <w:r w:rsidRPr="00CC2A32">
        <w:rPr>
          <w:u w:val="single"/>
        </w:rPr>
        <w:t>Permitted Capacity</w:t>
      </w:r>
      <w:r w:rsidRPr="00CC2A32">
        <w:t>.  The maximum allowable heat input rate</w:t>
      </w:r>
      <w:r>
        <w:t xml:space="preserve"> to each boiler</w:t>
      </w:r>
      <w:r w:rsidRPr="00CC2A32">
        <w:t xml:space="preserve"> is as follows:</w:t>
      </w:r>
      <w:bookmarkEnd w:id="6"/>
    </w:p>
    <w:tbl>
      <w:tblPr>
        <w:tblW w:w="9000" w:type="dxa"/>
        <w:tblLayout w:type="fixed"/>
        <w:tblLook w:val="0000" w:firstRow="0" w:lastRow="0" w:firstColumn="0" w:lastColumn="0" w:noHBand="0" w:noVBand="0"/>
      </w:tblPr>
      <w:tblGrid>
        <w:gridCol w:w="1728"/>
        <w:gridCol w:w="2412"/>
        <w:gridCol w:w="4860"/>
      </w:tblGrid>
      <w:tr w:rsidR="00351A66" w:rsidRPr="00CC2A32" w:rsidTr="00C73FF4">
        <w:tc>
          <w:tcPr>
            <w:tcW w:w="1728" w:type="dxa"/>
          </w:tcPr>
          <w:p w:rsidR="00351A66" w:rsidRPr="00CC2A32" w:rsidRDefault="00351A66" w:rsidP="00C73FF4">
            <w:pPr>
              <w:jc w:val="center"/>
            </w:pPr>
            <w:r w:rsidRPr="00CC2A32">
              <w:rPr>
                <w:u w:val="single"/>
              </w:rPr>
              <w:t>Unit No.</w:t>
            </w:r>
          </w:p>
        </w:tc>
        <w:tc>
          <w:tcPr>
            <w:tcW w:w="2412" w:type="dxa"/>
          </w:tcPr>
          <w:p w:rsidR="00351A66" w:rsidRPr="00CC2A32" w:rsidRDefault="00351A66" w:rsidP="00C73FF4">
            <w:pPr>
              <w:jc w:val="center"/>
            </w:pPr>
            <w:r w:rsidRPr="00CC2A32">
              <w:rPr>
                <w:u w:val="single"/>
              </w:rPr>
              <w:t>MMBtu/hr Heat Input</w:t>
            </w:r>
          </w:p>
        </w:tc>
        <w:tc>
          <w:tcPr>
            <w:tcW w:w="4860" w:type="dxa"/>
          </w:tcPr>
          <w:p w:rsidR="00351A66" w:rsidRPr="00CC2A32" w:rsidRDefault="00351A66" w:rsidP="00C73FF4">
            <w:r w:rsidRPr="00CC2A32">
              <w:rPr>
                <w:u w:val="single"/>
              </w:rPr>
              <w:t>Fuel Type</w:t>
            </w:r>
          </w:p>
        </w:tc>
      </w:tr>
      <w:tr w:rsidR="00351A66" w:rsidRPr="00CC2A32" w:rsidTr="00C73FF4">
        <w:tc>
          <w:tcPr>
            <w:tcW w:w="1728" w:type="dxa"/>
          </w:tcPr>
          <w:p w:rsidR="00351A66" w:rsidRPr="00CC2A32" w:rsidRDefault="00351A66" w:rsidP="00C73FF4">
            <w:pPr>
              <w:jc w:val="center"/>
            </w:pPr>
            <w:r w:rsidRPr="00CC2A32">
              <w:t>001 &amp; 002</w:t>
            </w:r>
          </w:p>
        </w:tc>
        <w:tc>
          <w:tcPr>
            <w:tcW w:w="2412" w:type="dxa"/>
          </w:tcPr>
          <w:p w:rsidR="00351A66" w:rsidRPr="00CC2A32" w:rsidRDefault="00351A66" w:rsidP="00C73FF4">
            <w:pPr>
              <w:jc w:val="center"/>
            </w:pPr>
            <w:r w:rsidRPr="00CC2A32">
              <w:t>8,650</w:t>
            </w:r>
          </w:p>
        </w:tc>
        <w:tc>
          <w:tcPr>
            <w:tcW w:w="4860" w:type="dxa"/>
          </w:tcPr>
          <w:p w:rsidR="00351A66" w:rsidRPr="00CC2A32" w:rsidRDefault="00351A66" w:rsidP="00C73FF4">
            <w:r w:rsidRPr="00CC2A32">
              <w:t>Fuel Oil</w:t>
            </w:r>
          </w:p>
        </w:tc>
      </w:tr>
      <w:tr w:rsidR="00351A66" w:rsidTr="00C73FF4">
        <w:tc>
          <w:tcPr>
            <w:tcW w:w="1728" w:type="dxa"/>
          </w:tcPr>
          <w:p w:rsidR="00351A66" w:rsidRPr="00CC2A32" w:rsidRDefault="00351A66" w:rsidP="00C73FF4">
            <w:pPr>
              <w:jc w:val="center"/>
            </w:pPr>
            <w:r w:rsidRPr="00CC2A32">
              <w:t>001 &amp; 002</w:t>
            </w:r>
          </w:p>
        </w:tc>
        <w:tc>
          <w:tcPr>
            <w:tcW w:w="2412" w:type="dxa"/>
          </w:tcPr>
          <w:p w:rsidR="00351A66" w:rsidRPr="00CC2A32" w:rsidRDefault="00351A66" w:rsidP="00C73FF4">
            <w:pPr>
              <w:jc w:val="center"/>
            </w:pPr>
            <w:r w:rsidRPr="00CC2A32">
              <w:t>9,040</w:t>
            </w:r>
          </w:p>
        </w:tc>
        <w:tc>
          <w:tcPr>
            <w:tcW w:w="4860" w:type="dxa"/>
          </w:tcPr>
          <w:p w:rsidR="00351A66" w:rsidRDefault="00351A66" w:rsidP="00C73FF4">
            <w:r w:rsidRPr="00CC2A32">
              <w:t>Natural Gas</w:t>
            </w:r>
          </w:p>
        </w:tc>
      </w:tr>
    </w:tbl>
    <w:p w:rsidR="00351A66" w:rsidRDefault="00351A66" w:rsidP="00351A66">
      <w:pPr>
        <w:ind w:left="450"/>
      </w:pPr>
      <w:r w:rsidRPr="00C16FF6">
        <w:rPr>
          <w:szCs w:val="22"/>
        </w:rPr>
        <w:t>When a blend of fuel oil and natural gas is burned, the heat input is prorated based on the percent heat input of each fuel.</w:t>
      </w:r>
    </w:p>
    <w:p w:rsidR="00351A66" w:rsidRDefault="00351A66" w:rsidP="00351A66">
      <w:pPr>
        <w:pStyle w:val="ListParagraph"/>
        <w:spacing w:after="120"/>
        <w:ind w:left="450"/>
        <w:contextualSpacing w:val="0"/>
      </w:pPr>
      <w:r>
        <w:t>[Rules 62-4.160(2)</w:t>
      </w:r>
      <w:r w:rsidRPr="00CC2A32">
        <w:rPr>
          <w:highlight w:val="yellow"/>
          <w:u w:val="double"/>
        </w:rPr>
        <w:t>,</w:t>
      </w:r>
      <w:r>
        <w:t xml:space="preserve"> </w:t>
      </w:r>
      <w:r w:rsidRPr="00CC2A32">
        <w:rPr>
          <w:strike/>
          <w:highlight w:val="yellow"/>
        </w:rPr>
        <w:t>&amp;</w:t>
      </w:r>
      <w:r>
        <w:t xml:space="preserve"> 62-210.200(PTE)</w:t>
      </w:r>
      <w:r w:rsidRPr="00CC2A32">
        <w:rPr>
          <w:highlight w:val="yellow"/>
          <w:u w:val="double"/>
        </w:rPr>
        <w:t>,</w:t>
      </w:r>
      <w:r>
        <w:t xml:space="preserve"> </w:t>
      </w:r>
      <w:r w:rsidRPr="00CC2A32">
        <w:t>62-214.330 &amp; 62-296.405</w:t>
      </w:r>
      <w:r>
        <w:t xml:space="preserve">, F.A.C.; and, Permit </w:t>
      </w:r>
      <w:r w:rsidRPr="00CC2A32">
        <w:t>Nos.</w:t>
      </w:r>
      <w:r>
        <w:t xml:space="preserve"> AC43-4037 &amp; AC43-4038, as amended </w:t>
      </w:r>
      <w:r w:rsidRPr="00CC2A32">
        <w:rPr>
          <w:strike/>
          <w:highlight w:val="yellow"/>
        </w:rPr>
        <w:t>2/16/93</w:t>
      </w:r>
      <w:r>
        <w:t xml:space="preserve"> </w:t>
      </w:r>
      <w:r w:rsidRPr="00CC2A32">
        <w:rPr>
          <w:highlight w:val="yellow"/>
          <w:u w:val="double"/>
        </w:rPr>
        <w:t>February 16, 1993</w:t>
      </w:r>
      <w:r>
        <w:t>]</w:t>
      </w:r>
    </w:p>
    <w:p w:rsidR="00351A66" w:rsidRDefault="00351A66" w:rsidP="00CB423F">
      <w:pPr>
        <w:pStyle w:val="ListParagraph"/>
        <w:numPr>
          <w:ilvl w:val="0"/>
          <w:numId w:val="1"/>
        </w:numPr>
        <w:tabs>
          <w:tab w:val="left" w:pos="360"/>
        </w:tabs>
        <w:spacing w:after="120"/>
        <w:contextualSpacing w:val="0"/>
        <w:rPr>
          <w:bCs/>
          <w:sz w:val="22"/>
          <w:szCs w:val="22"/>
        </w:rPr>
      </w:pPr>
      <w:r>
        <w:rPr>
          <w:bCs/>
          <w:sz w:val="22"/>
          <w:szCs w:val="22"/>
        </w:rPr>
        <w:t xml:space="preserve">Specific Condition </w:t>
      </w:r>
      <w:r>
        <w:rPr>
          <w:b/>
          <w:bCs/>
          <w:sz w:val="22"/>
          <w:szCs w:val="22"/>
        </w:rPr>
        <w:t>A.2</w:t>
      </w:r>
      <w:r>
        <w:rPr>
          <w:bCs/>
          <w:sz w:val="22"/>
          <w:szCs w:val="22"/>
        </w:rPr>
        <w:t xml:space="preserve"> has been revised to reflect the current version of Rule 62-297.310, F.A.C. as follows:</w:t>
      </w:r>
    </w:p>
    <w:p w:rsidR="00351A66" w:rsidRPr="00050CA4" w:rsidRDefault="00351A66" w:rsidP="00CB423F">
      <w:pPr>
        <w:numPr>
          <w:ilvl w:val="0"/>
          <w:numId w:val="2"/>
        </w:numPr>
        <w:tabs>
          <w:tab w:val="clear" w:pos="1836"/>
          <w:tab w:val="left" w:pos="1080"/>
        </w:tabs>
        <w:spacing w:after="120"/>
        <w:ind w:left="720" w:hanging="360"/>
        <w:rPr>
          <w:bCs/>
          <w:sz w:val="22"/>
          <w:szCs w:val="22"/>
        </w:rPr>
      </w:pPr>
      <w:r w:rsidRPr="00351A66">
        <w:rPr>
          <w:sz w:val="22"/>
          <w:szCs w:val="22"/>
          <w:u w:val="single"/>
        </w:rPr>
        <w:t>Emissions Unit Operating Rate Limitation After Testing</w:t>
      </w:r>
      <w:r w:rsidRPr="00351A66">
        <w:rPr>
          <w:sz w:val="22"/>
          <w:szCs w:val="22"/>
        </w:rPr>
        <w:t xml:space="preserve">.  Testing of emissions shall be conducted with the emissions unit operating at </w:t>
      </w:r>
      <w:r w:rsidRPr="00351A66">
        <w:rPr>
          <w:strike/>
          <w:sz w:val="22"/>
          <w:szCs w:val="22"/>
          <w:highlight w:val="yellow"/>
        </w:rPr>
        <w:t>permitted</w:t>
      </w:r>
      <w:r w:rsidRPr="00351A66">
        <w:rPr>
          <w:sz w:val="22"/>
          <w:szCs w:val="22"/>
        </w:rPr>
        <w:t xml:space="preserve"> </w:t>
      </w:r>
      <w:r w:rsidRPr="00351A66">
        <w:rPr>
          <w:sz w:val="22"/>
          <w:szCs w:val="22"/>
          <w:highlight w:val="yellow"/>
          <w:u w:val="double"/>
        </w:rPr>
        <w:t>testing</w:t>
      </w:r>
      <w:r w:rsidRPr="00351A66">
        <w:rPr>
          <w:sz w:val="22"/>
          <w:szCs w:val="22"/>
        </w:rPr>
        <w:t xml:space="preserve"> capacity </w:t>
      </w:r>
      <w:r w:rsidRPr="00351A66">
        <w:rPr>
          <w:sz w:val="22"/>
          <w:szCs w:val="22"/>
          <w:highlight w:val="yellow"/>
          <w:u w:val="double"/>
        </w:rPr>
        <w:t>( i.e., 90% of the maximum operation rate in Specific Condition</w:t>
      </w:r>
      <w:r w:rsidR="00CE695F">
        <w:rPr>
          <w:sz w:val="22"/>
          <w:szCs w:val="22"/>
          <w:highlight w:val="yellow"/>
          <w:u w:val="double"/>
        </w:rPr>
        <w:t xml:space="preserve"> </w:t>
      </w:r>
      <w:r w:rsidR="00CE695F">
        <w:rPr>
          <w:b/>
          <w:sz w:val="22"/>
          <w:szCs w:val="22"/>
          <w:highlight w:val="yellow"/>
          <w:u w:val="double"/>
        </w:rPr>
        <w:t>A.1</w:t>
      </w:r>
      <w:r w:rsidRPr="00351A66">
        <w:rPr>
          <w:sz w:val="22"/>
          <w:szCs w:val="22"/>
          <w:highlight w:val="yellow"/>
          <w:u w:val="double"/>
        </w:rPr>
        <w:t>).  If it is impracticable to test at the testing capacity, the emissions unit may be tested at less than the testing capacity.  If an emissions unit is tested at less than the testing capacity, another emissions test shall be conducted and completed no later than 60 days after the emissions unit exceeds 110% of the capacity at which its most recent emissions test was conducted.</w:t>
      </w:r>
      <w:r w:rsidRPr="00351A66">
        <w:rPr>
          <w:sz w:val="22"/>
          <w:szCs w:val="22"/>
        </w:rPr>
        <w:t xml:space="preserve"> </w:t>
      </w:r>
      <w:r w:rsidRPr="00351A66">
        <w:rPr>
          <w:strike/>
          <w:sz w:val="22"/>
          <w:szCs w:val="22"/>
          <w:highlight w:val="yellow"/>
        </w:rPr>
        <w:t>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w:t>
      </w:r>
      <w:r w:rsidRPr="00351A66">
        <w:rPr>
          <w:sz w:val="22"/>
          <w:szCs w:val="22"/>
        </w:rPr>
        <w:t xml:space="preserve">  </w:t>
      </w:r>
      <w:r w:rsidRPr="00351A66">
        <w:rPr>
          <w:strike/>
          <w:sz w:val="22"/>
          <w:szCs w:val="22"/>
          <w:highlight w:val="yellow"/>
        </w:rPr>
        <w:t>(</w:t>
      </w:r>
      <w:r w:rsidRPr="00351A66">
        <w:rPr>
          <w:sz w:val="22"/>
          <w:szCs w:val="22"/>
        </w:rPr>
        <w:t xml:space="preserve">See </w:t>
      </w:r>
      <w:r w:rsidRPr="00351A66">
        <w:rPr>
          <w:strike/>
          <w:sz w:val="22"/>
          <w:szCs w:val="22"/>
          <w:highlight w:val="yellow"/>
        </w:rPr>
        <w:t>also</w:t>
      </w:r>
      <w:r w:rsidRPr="00351A66">
        <w:rPr>
          <w:sz w:val="22"/>
          <w:szCs w:val="22"/>
        </w:rPr>
        <w:t xml:space="preserve"> the related testing provisions in Appendix TR, Facility-wide Testing Requirements.)  [Rule 62-297.310(</w:t>
      </w:r>
      <w:r w:rsidRPr="00351A66">
        <w:rPr>
          <w:strike/>
          <w:sz w:val="22"/>
          <w:szCs w:val="22"/>
          <w:highlight w:val="yellow"/>
        </w:rPr>
        <w:t>2</w:t>
      </w:r>
      <w:r w:rsidRPr="00351A66">
        <w:rPr>
          <w:sz w:val="22"/>
          <w:szCs w:val="22"/>
          <w:highlight w:val="yellow"/>
          <w:u w:val="double"/>
        </w:rPr>
        <w:t>4</w:t>
      </w:r>
      <w:r w:rsidRPr="00351A66">
        <w:rPr>
          <w:sz w:val="22"/>
          <w:szCs w:val="22"/>
        </w:rPr>
        <w:t>), F.A.C.]</w:t>
      </w:r>
    </w:p>
    <w:p w:rsidR="00050CA4" w:rsidRDefault="00050CA4" w:rsidP="00CB423F">
      <w:pPr>
        <w:pStyle w:val="ListParagraph"/>
        <w:numPr>
          <w:ilvl w:val="0"/>
          <w:numId w:val="1"/>
        </w:numPr>
        <w:tabs>
          <w:tab w:val="left" w:pos="360"/>
        </w:tabs>
        <w:spacing w:after="120"/>
        <w:contextualSpacing w:val="0"/>
        <w:rPr>
          <w:bCs/>
          <w:sz w:val="22"/>
          <w:szCs w:val="22"/>
        </w:rPr>
      </w:pPr>
      <w:r>
        <w:rPr>
          <w:bCs/>
          <w:sz w:val="22"/>
          <w:szCs w:val="22"/>
        </w:rPr>
        <w:t xml:space="preserve">Specific Condition </w:t>
      </w:r>
      <w:r>
        <w:rPr>
          <w:b/>
          <w:bCs/>
          <w:sz w:val="22"/>
          <w:szCs w:val="22"/>
        </w:rPr>
        <w:t>A.5</w:t>
      </w:r>
      <w:r>
        <w:rPr>
          <w:bCs/>
          <w:sz w:val="22"/>
          <w:szCs w:val="22"/>
        </w:rPr>
        <w:t xml:space="preserve"> ha</w:t>
      </w:r>
      <w:r w:rsidR="00685B23">
        <w:rPr>
          <w:bCs/>
          <w:sz w:val="22"/>
          <w:szCs w:val="22"/>
        </w:rPr>
        <w:t>s</w:t>
      </w:r>
      <w:r>
        <w:rPr>
          <w:bCs/>
          <w:sz w:val="22"/>
          <w:szCs w:val="22"/>
        </w:rPr>
        <w:t xml:space="preserve"> been deleted, revised and moved to the end of Section III., Subsection A. to reflect current Title V air operation permit format standards.  </w:t>
      </w:r>
      <w:r w:rsidR="00685B23">
        <w:rPr>
          <w:bCs/>
          <w:sz w:val="22"/>
          <w:szCs w:val="22"/>
        </w:rPr>
        <w:t xml:space="preserve">Specific Condition </w:t>
      </w:r>
      <w:r w:rsidR="00685B23">
        <w:rPr>
          <w:b/>
          <w:bCs/>
          <w:sz w:val="22"/>
          <w:szCs w:val="22"/>
        </w:rPr>
        <w:t>A.6</w:t>
      </w:r>
      <w:r w:rsidR="00685B23">
        <w:rPr>
          <w:bCs/>
          <w:sz w:val="22"/>
          <w:szCs w:val="22"/>
        </w:rPr>
        <w:t xml:space="preserve"> has been deleted to reflect that EU Nos. 001 and 002 are currently not subject to 40 CFR 63, Subpart UUUUU.</w:t>
      </w:r>
    </w:p>
    <w:p w:rsidR="00050CA4" w:rsidRDefault="00050CA4" w:rsidP="00CB423F">
      <w:pPr>
        <w:pStyle w:val="ListParagraph"/>
        <w:numPr>
          <w:ilvl w:val="0"/>
          <w:numId w:val="1"/>
        </w:numPr>
        <w:tabs>
          <w:tab w:val="left" w:pos="360"/>
        </w:tabs>
        <w:spacing w:after="120"/>
        <w:contextualSpacing w:val="0"/>
        <w:rPr>
          <w:bCs/>
          <w:sz w:val="22"/>
          <w:szCs w:val="22"/>
        </w:rPr>
      </w:pPr>
      <w:r>
        <w:rPr>
          <w:bCs/>
          <w:sz w:val="22"/>
          <w:szCs w:val="22"/>
        </w:rPr>
        <w:t xml:space="preserve">The </w:t>
      </w:r>
      <w:r>
        <w:rPr>
          <w:b/>
          <w:bCs/>
          <w:sz w:val="22"/>
          <w:szCs w:val="22"/>
          <w:u w:val="single"/>
        </w:rPr>
        <w:t>Air Pollution Control Devices &amp; Measures</w:t>
      </w:r>
      <w:r>
        <w:rPr>
          <w:bCs/>
          <w:sz w:val="22"/>
          <w:szCs w:val="22"/>
        </w:rPr>
        <w:t xml:space="preserve"> section of Section III., Subsection A. has been renamed to </w:t>
      </w:r>
      <w:r>
        <w:rPr>
          <w:b/>
          <w:bCs/>
          <w:sz w:val="22"/>
          <w:szCs w:val="22"/>
          <w:u w:val="single"/>
        </w:rPr>
        <w:t>Control Technology</w:t>
      </w:r>
      <w:r>
        <w:rPr>
          <w:bCs/>
          <w:sz w:val="22"/>
          <w:szCs w:val="22"/>
        </w:rPr>
        <w:t xml:space="preserve"> to reflect current Title V air operation permit format standards.</w:t>
      </w:r>
    </w:p>
    <w:p w:rsidR="00531BFC" w:rsidRDefault="00531BFC" w:rsidP="00CB423F">
      <w:pPr>
        <w:pStyle w:val="ListParagraph"/>
        <w:numPr>
          <w:ilvl w:val="0"/>
          <w:numId w:val="1"/>
        </w:numPr>
        <w:tabs>
          <w:tab w:val="left" w:pos="360"/>
        </w:tabs>
        <w:spacing w:after="120"/>
        <w:contextualSpacing w:val="0"/>
        <w:rPr>
          <w:bCs/>
          <w:sz w:val="22"/>
          <w:szCs w:val="22"/>
        </w:rPr>
      </w:pPr>
      <w:r>
        <w:rPr>
          <w:bCs/>
          <w:sz w:val="22"/>
          <w:szCs w:val="22"/>
        </w:rPr>
        <w:t xml:space="preserve">Specific Condition </w:t>
      </w:r>
      <w:r>
        <w:rPr>
          <w:b/>
          <w:bCs/>
          <w:sz w:val="22"/>
          <w:szCs w:val="22"/>
        </w:rPr>
        <w:t>A.11</w:t>
      </w:r>
      <w:r>
        <w:rPr>
          <w:bCs/>
          <w:sz w:val="22"/>
          <w:szCs w:val="22"/>
        </w:rPr>
        <w:t xml:space="preserve"> has been deleted and combined with Specific Condition </w:t>
      </w:r>
      <w:r>
        <w:rPr>
          <w:b/>
          <w:bCs/>
          <w:sz w:val="22"/>
          <w:szCs w:val="22"/>
        </w:rPr>
        <w:t>A.12</w:t>
      </w:r>
      <w:r>
        <w:rPr>
          <w:bCs/>
          <w:sz w:val="22"/>
          <w:szCs w:val="22"/>
        </w:rPr>
        <w:t xml:space="preserve"> as follows:</w:t>
      </w:r>
    </w:p>
    <w:p w:rsidR="00531BFC" w:rsidRPr="00531BFC" w:rsidRDefault="00531BFC" w:rsidP="00CB423F">
      <w:pPr>
        <w:numPr>
          <w:ilvl w:val="0"/>
          <w:numId w:val="3"/>
        </w:numPr>
        <w:tabs>
          <w:tab w:val="num" w:pos="720"/>
          <w:tab w:val="left" w:pos="1080"/>
          <w:tab w:val="left" w:pos="1440"/>
        </w:tabs>
        <w:spacing w:after="120"/>
        <w:ind w:left="720" w:hanging="360"/>
        <w:rPr>
          <w:strike/>
          <w:sz w:val="22"/>
          <w:szCs w:val="22"/>
          <w:highlight w:val="yellow"/>
        </w:rPr>
      </w:pPr>
      <w:r w:rsidRPr="00531BFC">
        <w:rPr>
          <w:strike/>
          <w:sz w:val="22"/>
          <w:szCs w:val="22"/>
          <w:highlight w:val="yellow"/>
          <w:u w:val="single"/>
        </w:rPr>
        <w:t>40 CFR 60 Opacity Standard</w:t>
      </w:r>
      <w:r w:rsidRPr="00531BFC">
        <w:rPr>
          <w:strike/>
          <w:sz w:val="22"/>
          <w:szCs w:val="22"/>
          <w:highlight w:val="yellow"/>
        </w:rPr>
        <w:t>.  The opacity standards set forth in 40 CFR 60 shall apply at all times except during periods of startup, shutdown, malfunction, and as otherwise provided in the applicable standard.  [40 CFR 60.11(c)]</w:t>
      </w:r>
    </w:p>
    <w:p w:rsidR="00531BFC" w:rsidRPr="00531BFC" w:rsidRDefault="00531BFC" w:rsidP="00CB423F">
      <w:pPr>
        <w:numPr>
          <w:ilvl w:val="0"/>
          <w:numId w:val="3"/>
        </w:numPr>
        <w:tabs>
          <w:tab w:val="num" w:pos="720"/>
          <w:tab w:val="left" w:pos="1080"/>
          <w:tab w:val="left" w:pos="1440"/>
        </w:tabs>
        <w:spacing w:after="120"/>
        <w:ind w:left="720" w:hanging="360"/>
        <w:rPr>
          <w:bCs/>
          <w:sz w:val="22"/>
          <w:szCs w:val="22"/>
        </w:rPr>
      </w:pPr>
      <w:r w:rsidRPr="00531BFC">
        <w:rPr>
          <w:strike/>
          <w:sz w:val="22"/>
          <w:szCs w:val="22"/>
          <w:highlight w:val="yellow"/>
          <w:u w:val="single"/>
        </w:rPr>
        <w:t>Other Opacity Standard</w:t>
      </w:r>
      <w:r w:rsidRPr="00531BFC">
        <w:rPr>
          <w:sz w:val="22"/>
          <w:szCs w:val="22"/>
          <w:u w:val="single"/>
        </w:rPr>
        <w:t xml:space="preserve"> </w:t>
      </w:r>
      <w:r w:rsidRPr="00531BFC">
        <w:rPr>
          <w:sz w:val="22"/>
          <w:szCs w:val="22"/>
          <w:highlight w:val="yellow"/>
          <w:u w:val="double"/>
        </w:rPr>
        <w:t>Visible Emissions</w:t>
      </w:r>
      <w:r w:rsidRPr="00531BFC">
        <w:rPr>
          <w:sz w:val="22"/>
          <w:szCs w:val="22"/>
        </w:rPr>
        <w:t xml:space="preserve">.  The maximum emission limit for opacity exhibited by the gases discharged into the atmosphere from each of these emissions units any gases which exhibit greater than 20% opacity except for one six-minute period per hour of not more than 27% opacity.  </w:t>
      </w:r>
      <w:r w:rsidRPr="00531BFC">
        <w:rPr>
          <w:sz w:val="22"/>
          <w:szCs w:val="22"/>
          <w:highlight w:val="yellow"/>
          <w:u w:val="double"/>
        </w:rPr>
        <w:t>This standard shall apply at all times except during periods of startup, shutdown, malfunction and as otherwise provided in NSPS Subpart D (see Appendix NSPS Subpart D).</w:t>
      </w:r>
      <w:r w:rsidRPr="00531BFC">
        <w:rPr>
          <w:sz w:val="22"/>
          <w:szCs w:val="22"/>
        </w:rPr>
        <w:t xml:space="preserve">  [40 CFR </w:t>
      </w:r>
      <w:r w:rsidRPr="00531BFC">
        <w:rPr>
          <w:sz w:val="22"/>
          <w:szCs w:val="22"/>
          <w:highlight w:val="yellow"/>
          <w:u w:val="double"/>
        </w:rPr>
        <w:t>60.11(c) &amp;</w:t>
      </w:r>
      <w:r w:rsidRPr="00531BFC">
        <w:rPr>
          <w:sz w:val="22"/>
          <w:szCs w:val="22"/>
        </w:rPr>
        <w:t xml:space="preserve"> 60.42(a)(2); and, Permit Nos. AC43-4031 &amp; AC43-4038, as amended 2/16/93]</w:t>
      </w:r>
    </w:p>
    <w:p w:rsidR="00531BFC" w:rsidRDefault="00531BFC" w:rsidP="00CB423F">
      <w:pPr>
        <w:pStyle w:val="ListParagraph"/>
        <w:numPr>
          <w:ilvl w:val="0"/>
          <w:numId w:val="1"/>
        </w:numPr>
        <w:tabs>
          <w:tab w:val="left" w:pos="360"/>
        </w:tabs>
        <w:spacing w:after="120"/>
        <w:contextualSpacing w:val="0"/>
        <w:rPr>
          <w:bCs/>
          <w:sz w:val="22"/>
          <w:szCs w:val="22"/>
        </w:rPr>
      </w:pPr>
      <w:r>
        <w:rPr>
          <w:bCs/>
          <w:sz w:val="22"/>
          <w:szCs w:val="22"/>
        </w:rPr>
        <w:t>Specific Condition</w:t>
      </w:r>
      <w:r w:rsidR="00682DC1">
        <w:rPr>
          <w:bCs/>
          <w:sz w:val="22"/>
          <w:szCs w:val="22"/>
        </w:rPr>
        <w:t>s</w:t>
      </w:r>
      <w:r>
        <w:rPr>
          <w:bCs/>
          <w:sz w:val="22"/>
          <w:szCs w:val="22"/>
        </w:rPr>
        <w:t xml:space="preserve"> </w:t>
      </w:r>
      <w:r>
        <w:rPr>
          <w:b/>
          <w:bCs/>
          <w:sz w:val="22"/>
          <w:szCs w:val="22"/>
        </w:rPr>
        <w:t>A.13</w:t>
      </w:r>
      <w:r w:rsidR="00682DC1">
        <w:rPr>
          <w:bCs/>
          <w:sz w:val="22"/>
          <w:szCs w:val="22"/>
        </w:rPr>
        <w:t xml:space="preserve"> </w:t>
      </w:r>
      <w:r>
        <w:rPr>
          <w:bCs/>
          <w:sz w:val="22"/>
          <w:szCs w:val="22"/>
        </w:rPr>
        <w:t>has been revised to incorporate minor format corrections and NSPS Subpart D provisions as follows:</w:t>
      </w:r>
    </w:p>
    <w:p w:rsidR="00531BFC" w:rsidRPr="00531BFC" w:rsidRDefault="00531BFC" w:rsidP="00CB423F">
      <w:pPr>
        <w:numPr>
          <w:ilvl w:val="0"/>
          <w:numId w:val="3"/>
        </w:numPr>
        <w:tabs>
          <w:tab w:val="num" w:pos="720"/>
          <w:tab w:val="left" w:pos="1080"/>
          <w:tab w:val="left" w:pos="1440"/>
        </w:tabs>
        <w:ind w:left="720" w:hanging="360"/>
        <w:rPr>
          <w:sz w:val="22"/>
        </w:rPr>
      </w:pPr>
      <w:r w:rsidRPr="00531BFC">
        <w:rPr>
          <w:sz w:val="22"/>
          <w:szCs w:val="22"/>
          <w:u w:val="single"/>
        </w:rPr>
        <w:t>SO</w:t>
      </w:r>
      <w:r w:rsidRPr="00531BFC">
        <w:rPr>
          <w:sz w:val="22"/>
          <w:szCs w:val="22"/>
          <w:u w:val="single"/>
          <w:vertAlign w:val="subscript"/>
        </w:rPr>
        <w:t>2</w:t>
      </w:r>
      <w:r w:rsidRPr="00531BFC">
        <w:rPr>
          <w:sz w:val="22"/>
          <w:szCs w:val="22"/>
          <w:u w:val="single"/>
        </w:rPr>
        <w:t xml:space="preserve"> Emissions</w:t>
      </w:r>
      <w:r w:rsidRPr="00531BFC">
        <w:rPr>
          <w:sz w:val="22"/>
          <w:szCs w:val="22"/>
        </w:rPr>
        <w:t xml:space="preserve">.  </w:t>
      </w:r>
      <w:r w:rsidRPr="00531BFC">
        <w:rPr>
          <w:sz w:val="22"/>
        </w:rPr>
        <w:t>As determined by CEMS or fuel sampling and analysis, the maximum emission limit for sulfur dioxide contained in the gases discharged to the atmosphere from each of these emissions units shall not exceed:</w:t>
      </w:r>
    </w:p>
    <w:p w:rsidR="00531BFC" w:rsidRPr="00531BFC" w:rsidRDefault="00531BFC" w:rsidP="00CB423F">
      <w:pPr>
        <w:numPr>
          <w:ilvl w:val="0"/>
          <w:numId w:val="4"/>
        </w:numPr>
        <w:tabs>
          <w:tab w:val="left" w:pos="1080"/>
          <w:tab w:val="left" w:pos="1440"/>
        </w:tabs>
        <w:spacing w:after="120"/>
        <w:ind w:left="1080"/>
        <w:contextualSpacing/>
        <w:rPr>
          <w:sz w:val="22"/>
        </w:rPr>
      </w:pPr>
      <w:r w:rsidRPr="00531BFC">
        <w:rPr>
          <w:sz w:val="22"/>
        </w:rPr>
        <w:t xml:space="preserve">340 nanograms per joule </w:t>
      </w:r>
      <w:r w:rsidRPr="00531BFC">
        <w:rPr>
          <w:sz w:val="22"/>
          <w:highlight w:val="yellow"/>
          <w:u w:val="double"/>
        </w:rPr>
        <w:t>(ng/J)</w:t>
      </w:r>
      <w:r w:rsidRPr="00531BFC">
        <w:rPr>
          <w:sz w:val="22"/>
        </w:rPr>
        <w:t xml:space="preserve"> heat input (0.80 lb/MMBtu) derived from liquid fossil fuel.</w:t>
      </w:r>
    </w:p>
    <w:p w:rsidR="00531BFC" w:rsidRPr="00531BFC" w:rsidRDefault="00531BFC" w:rsidP="00CB423F">
      <w:pPr>
        <w:numPr>
          <w:ilvl w:val="0"/>
          <w:numId w:val="4"/>
        </w:numPr>
        <w:tabs>
          <w:tab w:val="left" w:pos="1080"/>
          <w:tab w:val="left" w:pos="1440"/>
        </w:tabs>
        <w:ind w:left="1080"/>
        <w:contextualSpacing/>
        <w:rPr>
          <w:sz w:val="22"/>
        </w:rPr>
      </w:pPr>
      <w:r w:rsidRPr="00531BFC">
        <w:rPr>
          <w:sz w:val="22"/>
          <w:szCs w:val="22"/>
        </w:rPr>
        <w:t>In addition, emissions shall not exceed 6,920 lb/hr when firing 100% oil.</w:t>
      </w:r>
    </w:p>
    <w:p w:rsidR="00531BFC" w:rsidRPr="00531BFC" w:rsidRDefault="00531BFC" w:rsidP="00973B47">
      <w:pPr>
        <w:spacing w:after="120"/>
        <w:ind w:left="720"/>
        <w:rPr>
          <w:sz w:val="22"/>
          <w:highlight w:val="yellow"/>
          <w:u w:val="double"/>
        </w:rPr>
      </w:pPr>
      <w:r w:rsidRPr="00531BFC">
        <w:rPr>
          <w:sz w:val="22"/>
        </w:rPr>
        <w:t xml:space="preserve">Compliance shall be based on the total heat input from all fossil fuels burned, including gaseous fuels.  </w:t>
      </w:r>
      <w:r w:rsidRPr="00531BFC">
        <w:rPr>
          <w:sz w:val="22"/>
          <w:highlight w:val="yellow"/>
          <w:u w:val="double"/>
        </w:rPr>
        <w:t>When different fuels are burned simultaneously in any combination, the applicable standard (in ng/J) shall be determined by proration using the following formula:</w:t>
      </w:r>
    </w:p>
    <w:p w:rsidR="00531BFC" w:rsidRPr="00531BFC" w:rsidRDefault="00531BFC" w:rsidP="00973B47">
      <w:pPr>
        <w:tabs>
          <w:tab w:val="left" w:pos="1080"/>
          <w:tab w:val="left" w:pos="1440"/>
        </w:tabs>
        <w:spacing w:after="120"/>
        <w:ind w:left="1080"/>
        <w:rPr>
          <w:sz w:val="22"/>
          <w:u w:val="double"/>
        </w:rPr>
      </w:pPr>
      <m:oMathPara>
        <m:oMathParaPr>
          <m:jc m:val="left"/>
        </m:oMathParaPr>
        <m:oMath>
          <m:r>
            <w:rPr>
              <w:rFonts w:ascii="Cambria Math" w:hAnsi="Cambria Math"/>
              <w:sz w:val="22"/>
              <w:highlight w:val="yellow"/>
              <w:u w:val="double"/>
            </w:rPr>
            <m:t>P</m:t>
          </m:r>
          <m:sSub>
            <m:sSubPr>
              <m:ctrlPr>
                <w:rPr>
                  <w:rFonts w:ascii="Cambria Math" w:hAnsi="Cambria Math"/>
                  <w:i/>
                  <w:sz w:val="22"/>
                  <w:u w:val="double"/>
                </w:rPr>
              </m:ctrlPr>
            </m:sSubPr>
            <m:e>
              <m:r>
                <w:rPr>
                  <w:rFonts w:ascii="Cambria Math" w:hAnsi="Cambria Math"/>
                  <w:sz w:val="22"/>
                  <w:highlight w:val="yellow"/>
                  <w:u w:val="double"/>
                </w:rPr>
                <m:t>S</m:t>
              </m:r>
            </m:e>
            <m:sub>
              <m:sSub>
                <m:sSubPr>
                  <m:ctrlPr>
                    <w:rPr>
                      <w:rFonts w:ascii="Cambria Math" w:hAnsi="Cambria Math"/>
                      <w:i/>
                      <w:sz w:val="22"/>
                      <w:u w:val="double"/>
                    </w:rPr>
                  </m:ctrlPr>
                </m:sSubPr>
                <m:e>
                  <m:r>
                    <w:rPr>
                      <w:rFonts w:ascii="Cambria Math" w:hAnsi="Cambria Math"/>
                      <w:sz w:val="22"/>
                      <w:u w:val="double"/>
                    </w:rPr>
                    <m:t>SO</m:t>
                  </m:r>
                </m:e>
                <m:sub>
                  <m:r>
                    <w:rPr>
                      <w:rFonts w:ascii="Cambria Math" w:hAnsi="Cambria Math"/>
                      <w:sz w:val="22"/>
                      <w:u w:val="double"/>
                    </w:rPr>
                    <m:t>2</m:t>
                  </m:r>
                </m:sub>
              </m:sSub>
            </m:sub>
          </m:sSub>
          <m:r>
            <w:rPr>
              <w:rFonts w:ascii="Cambria Math" w:hAnsi="Cambria Math"/>
              <w:sz w:val="22"/>
              <w:u w:val="double"/>
            </w:rPr>
            <m:t>=</m:t>
          </m:r>
          <m:f>
            <m:fPr>
              <m:ctrlPr>
                <w:rPr>
                  <w:rFonts w:ascii="Cambria Math" w:hAnsi="Cambria Math"/>
                  <w:i/>
                  <w:sz w:val="22"/>
                  <w:u w:val="double"/>
                </w:rPr>
              </m:ctrlPr>
            </m:fPr>
            <m:num>
              <m:r>
                <w:rPr>
                  <w:rFonts w:ascii="Cambria Math" w:hAnsi="Cambria Math"/>
                  <w:sz w:val="22"/>
                  <w:u w:val="double"/>
                </w:rPr>
                <m:t>y</m:t>
              </m:r>
              <m:d>
                <m:dPr>
                  <m:ctrlPr>
                    <w:rPr>
                      <w:rFonts w:ascii="Cambria Math" w:hAnsi="Cambria Math"/>
                      <w:i/>
                      <w:sz w:val="22"/>
                      <w:u w:val="double"/>
                    </w:rPr>
                  </m:ctrlPr>
                </m:dPr>
                <m:e>
                  <m:r>
                    <w:rPr>
                      <w:rFonts w:ascii="Cambria Math" w:hAnsi="Cambria Math"/>
                      <w:sz w:val="22"/>
                      <w:u w:val="double"/>
                    </w:rPr>
                    <m:t>340</m:t>
                  </m:r>
                </m:e>
              </m:d>
              <m:r>
                <w:rPr>
                  <w:rFonts w:ascii="Cambria Math" w:hAnsi="Cambria Math"/>
                  <w:sz w:val="22"/>
                  <w:u w:val="double"/>
                </w:rPr>
                <m:t>+z(520)</m:t>
              </m:r>
            </m:num>
            <m:den>
              <m:r>
                <w:rPr>
                  <w:rFonts w:ascii="Cambria Math" w:hAnsi="Cambria Math"/>
                  <w:sz w:val="22"/>
                  <w:u w:val="double"/>
                </w:rPr>
                <m:t>(y+z)</m:t>
              </m:r>
            </m:den>
          </m:f>
        </m:oMath>
      </m:oMathPara>
    </w:p>
    <w:p w:rsidR="00531BFC" w:rsidRPr="00531BFC" w:rsidRDefault="00531BFC" w:rsidP="00973B47">
      <w:pPr>
        <w:tabs>
          <w:tab w:val="left" w:pos="1080"/>
          <w:tab w:val="left" w:pos="1440"/>
        </w:tabs>
        <w:spacing w:after="120"/>
        <w:ind w:left="1080"/>
        <w:rPr>
          <w:sz w:val="22"/>
          <w:highlight w:val="yellow"/>
          <w:u w:val="double"/>
        </w:rPr>
      </w:pPr>
      <w:r w:rsidRPr="00531BFC">
        <w:rPr>
          <w:sz w:val="22"/>
          <w:highlight w:val="yellow"/>
          <w:u w:val="double"/>
        </w:rPr>
        <w:t>Where:</w:t>
      </w:r>
    </w:p>
    <w:p w:rsidR="00531BFC" w:rsidRPr="00531BFC" w:rsidRDefault="00531BFC" w:rsidP="00973B47">
      <w:pPr>
        <w:tabs>
          <w:tab w:val="left" w:pos="360"/>
          <w:tab w:val="left" w:pos="1440"/>
        </w:tabs>
        <w:spacing w:after="120"/>
        <w:ind w:left="1800" w:hanging="720"/>
        <w:rPr>
          <w:sz w:val="22"/>
          <w:highlight w:val="yellow"/>
          <w:u w:val="double"/>
        </w:rPr>
      </w:pPr>
      <w:r w:rsidRPr="00531BFC">
        <w:rPr>
          <w:sz w:val="22"/>
          <w:highlight w:val="yellow"/>
          <w:u w:val="double"/>
        </w:rPr>
        <w:t>PS</w:t>
      </w:r>
      <w:r w:rsidRPr="00531BFC">
        <w:rPr>
          <w:sz w:val="22"/>
          <w:highlight w:val="yellow"/>
          <w:u w:val="double"/>
          <w:vertAlign w:val="subscript"/>
        </w:rPr>
        <w:t>SO2</w:t>
      </w:r>
      <w:r w:rsidRPr="00531BFC">
        <w:rPr>
          <w:sz w:val="22"/>
          <w:highlight w:val="yellow"/>
          <w:u w:val="double"/>
        </w:rPr>
        <w:t xml:space="preserve"> = Prorated standard for SO</w:t>
      </w:r>
      <w:r w:rsidRPr="00531BFC">
        <w:rPr>
          <w:sz w:val="22"/>
          <w:highlight w:val="yellow"/>
          <w:u w:val="double"/>
          <w:vertAlign w:val="subscript"/>
        </w:rPr>
        <w:t>2</w:t>
      </w:r>
      <w:r w:rsidRPr="00531BFC">
        <w:rPr>
          <w:sz w:val="22"/>
          <w:highlight w:val="yellow"/>
          <w:u w:val="double"/>
        </w:rPr>
        <w:t xml:space="preserve"> when burning different fuels simultaneously, in ng/J heat input derived from all fossil fuels or from all fossil fuels fired;</w:t>
      </w:r>
    </w:p>
    <w:p w:rsidR="00531BFC" w:rsidRPr="00531BFC" w:rsidRDefault="00531BFC" w:rsidP="00973B47">
      <w:pPr>
        <w:tabs>
          <w:tab w:val="left" w:pos="1440"/>
        </w:tabs>
        <w:spacing w:after="120"/>
        <w:ind w:left="1800" w:hanging="720"/>
        <w:rPr>
          <w:sz w:val="22"/>
          <w:highlight w:val="yellow"/>
          <w:u w:val="double"/>
        </w:rPr>
      </w:pPr>
      <w:r w:rsidRPr="00531BFC">
        <w:rPr>
          <w:sz w:val="22"/>
          <w:highlight w:val="yellow"/>
          <w:u w:val="double"/>
        </w:rPr>
        <w:t>y = Percentage of total heat input derived from liquid fossil fuel; and</w:t>
      </w:r>
    </w:p>
    <w:p w:rsidR="00531BFC" w:rsidRPr="00531BFC" w:rsidRDefault="00531BFC" w:rsidP="00973B47">
      <w:pPr>
        <w:tabs>
          <w:tab w:val="left" w:pos="360"/>
          <w:tab w:val="left" w:pos="1440"/>
        </w:tabs>
        <w:spacing w:after="120"/>
        <w:ind w:left="1800" w:hanging="720"/>
        <w:rPr>
          <w:sz w:val="22"/>
          <w:highlight w:val="yellow"/>
          <w:u w:val="double"/>
        </w:rPr>
      </w:pPr>
      <w:r w:rsidRPr="00531BFC">
        <w:rPr>
          <w:sz w:val="22"/>
          <w:highlight w:val="yellow"/>
          <w:u w:val="double"/>
        </w:rPr>
        <w:t>z = Percentage of total heat input derived from solid fossil fuel.</w:t>
      </w:r>
    </w:p>
    <w:p w:rsidR="00531BFC" w:rsidRPr="00531BFC" w:rsidRDefault="00531BFC" w:rsidP="00973B47">
      <w:pPr>
        <w:tabs>
          <w:tab w:val="left" w:pos="1080"/>
          <w:tab w:val="left" w:pos="1440"/>
        </w:tabs>
        <w:spacing w:after="120"/>
        <w:ind w:left="720"/>
        <w:rPr>
          <w:sz w:val="22"/>
          <w:szCs w:val="22"/>
        </w:rPr>
      </w:pPr>
      <w:r w:rsidRPr="00531BFC">
        <w:rPr>
          <w:sz w:val="22"/>
          <w:szCs w:val="22"/>
        </w:rPr>
        <w:t>[40 CFR 60.43(a)(1)</w:t>
      </w:r>
      <w:r w:rsidRPr="00531BFC">
        <w:rPr>
          <w:sz w:val="22"/>
          <w:szCs w:val="22"/>
          <w:highlight w:val="yellow"/>
          <w:u w:val="double"/>
        </w:rPr>
        <w:t>, (b)</w:t>
      </w:r>
      <w:r w:rsidRPr="00531BFC">
        <w:rPr>
          <w:sz w:val="22"/>
          <w:szCs w:val="22"/>
        </w:rPr>
        <w:t xml:space="preserve"> &amp; (c), ; and, Permit Nos. AC43-4031 &amp; AC43-4038, as amended 2/16/93]</w:t>
      </w:r>
    </w:p>
    <w:p w:rsidR="00531BFC" w:rsidRDefault="009D423D" w:rsidP="00CB423F">
      <w:pPr>
        <w:pStyle w:val="ListParagraph"/>
        <w:numPr>
          <w:ilvl w:val="0"/>
          <w:numId w:val="1"/>
        </w:numPr>
        <w:tabs>
          <w:tab w:val="left" w:pos="360"/>
        </w:tabs>
        <w:spacing w:after="120"/>
        <w:contextualSpacing w:val="0"/>
        <w:rPr>
          <w:bCs/>
          <w:sz w:val="22"/>
          <w:szCs w:val="22"/>
        </w:rPr>
      </w:pPr>
      <w:r>
        <w:rPr>
          <w:bCs/>
          <w:sz w:val="22"/>
          <w:szCs w:val="22"/>
        </w:rPr>
        <w:t xml:space="preserve">Minor revisions and corrections were made to Specific Condition </w:t>
      </w:r>
      <w:r>
        <w:rPr>
          <w:b/>
          <w:bCs/>
          <w:sz w:val="22"/>
          <w:szCs w:val="22"/>
        </w:rPr>
        <w:t>A.16</w:t>
      </w:r>
      <w:r w:rsidRPr="009D423D">
        <w:rPr>
          <w:bCs/>
          <w:sz w:val="22"/>
          <w:szCs w:val="22"/>
        </w:rPr>
        <w:t xml:space="preserve"> as follows:</w:t>
      </w:r>
    </w:p>
    <w:p w:rsidR="00592B5B" w:rsidRPr="00592B5B" w:rsidRDefault="00592B5B" w:rsidP="00CB423F">
      <w:pPr>
        <w:numPr>
          <w:ilvl w:val="0"/>
          <w:numId w:val="5"/>
        </w:numPr>
        <w:tabs>
          <w:tab w:val="clear" w:pos="1836"/>
          <w:tab w:val="left" w:pos="1080"/>
        </w:tabs>
        <w:spacing w:after="120"/>
        <w:ind w:left="720" w:hanging="360"/>
        <w:rPr>
          <w:sz w:val="22"/>
          <w:szCs w:val="22"/>
        </w:rPr>
      </w:pPr>
      <w:r w:rsidRPr="00592B5B">
        <w:rPr>
          <w:sz w:val="22"/>
          <w:szCs w:val="22"/>
          <w:u w:val="single"/>
        </w:rPr>
        <w:t xml:space="preserve">NSPS </w:t>
      </w:r>
      <w:r w:rsidRPr="00592B5B">
        <w:rPr>
          <w:sz w:val="22"/>
          <w:szCs w:val="22"/>
          <w:highlight w:val="yellow"/>
          <w:u w:val="double"/>
        </w:rPr>
        <w:t>Best Operational Procedures</w:t>
      </w:r>
      <w:r w:rsidRPr="00592B5B">
        <w:rPr>
          <w:sz w:val="22"/>
          <w:szCs w:val="22"/>
          <w:u w:val="single"/>
        </w:rPr>
        <w:t xml:space="preserve"> </w:t>
      </w:r>
      <w:r w:rsidRPr="00592B5B">
        <w:rPr>
          <w:strike/>
          <w:sz w:val="22"/>
          <w:szCs w:val="22"/>
          <w:highlight w:val="yellow"/>
          <w:u w:val="single"/>
        </w:rPr>
        <w:t>Excess Emissions Requirements</w:t>
      </w:r>
      <w:r w:rsidRPr="00592B5B">
        <w:rPr>
          <w:sz w:val="22"/>
          <w:szCs w:val="22"/>
        </w:rPr>
        <w:t xml:space="preserve">.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w:t>
      </w:r>
      <w:r w:rsidRPr="009D423D">
        <w:rPr>
          <w:strike/>
          <w:sz w:val="22"/>
          <w:szCs w:val="22"/>
          <w:highlight w:val="yellow"/>
        </w:rPr>
        <w:t>Administrator</w:t>
      </w:r>
      <w:r w:rsidRPr="00592B5B">
        <w:rPr>
          <w:sz w:val="22"/>
          <w:szCs w:val="22"/>
        </w:rPr>
        <w:t xml:space="preserve"> </w:t>
      </w:r>
      <w:r w:rsidR="009D423D" w:rsidRPr="009D423D">
        <w:rPr>
          <w:sz w:val="22"/>
          <w:szCs w:val="22"/>
          <w:highlight w:val="yellow"/>
          <w:u w:val="double"/>
        </w:rPr>
        <w:t>Department</w:t>
      </w:r>
      <w:r w:rsidR="009D423D">
        <w:rPr>
          <w:sz w:val="22"/>
          <w:szCs w:val="22"/>
        </w:rPr>
        <w:t xml:space="preserve"> </w:t>
      </w:r>
      <w:r w:rsidRPr="00592B5B">
        <w:rPr>
          <w:sz w:val="22"/>
          <w:szCs w:val="22"/>
        </w:rPr>
        <w:t>which may include, but is not limited to, monitoring results, opacity observations, review of operating and maintenance procedures, and inspection of the source.  [40 CFR 60.11(d)]</w:t>
      </w:r>
    </w:p>
    <w:p w:rsidR="00592B5B" w:rsidRDefault="006E608D" w:rsidP="00CB423F">
      <w:pPr>
        <w:pStyle w:val="ListParagraph"/>
        <w:numPr>
          <w:ilvl w:val="0"/>
          <w:numId w:val="1"/>
        </w:numPr>
        <w:tabs>
          <w:tab w:val="left" w:pos="360"/>
        </w:tabs>
        <w:spacing w:after="120"/>
        <w:contextualSpacing w:val="0"/>
        <w:rPr>
          <w:bCs/>
          <w:sz w:val="22"/>
          <w:szCs w:val="22"/>
        </w:rPr>
      </w:pPr>
      <w:r>
        <w:rPr>
          <w:bCs/>
          <w:sz w:val="22"/>
          <w:szCs w:val="22"/>
        </w:rPr>
        <w:t xml:space="preserve">To reflect the current version of Rule 62-210.700, F.A.C., Specific Condition </w:t>
      </w:r>
      <w:r>
        <w:rPr>
          <w:b/>
          <w:bCs/>
          <w:sz w:val="22"/>
          <w:szCs w:val="22"/>
        </w:rPr>
        <w:t>A.17</w:t>
      </w:r>
      <w:r>
        <w:rPr>
          <w:bCs/>
          <w:sz w:val="22"/>
          <w:szCs w:val="22"/>
        </w:rPr>
        <w:t xml:space="preserve"> has been revised as follows:</w:t>
      </w:r>
    </w:p>
    <w:p w:rsidR="006E608D" w:rsidRPr="006E608D" w:rsidRDefault="006E608D" w:rsidP="00CB423F">
      <w:pPr>
        <w:numPr>
          <w:ilvl w:val="0"/>
          <w:numId w:val="5"/>
        </w:numPr>
        <w:tabs>
          <w:tab w:val="clear" w:pos="1836"/>
          <w:tab w:val="left" w:pos="1080"/>
        </w:tabs>
        <w:spacing w:after="120"/>
        <w:ind w:left="720" w:hanging="360"/>
        <w:rPr>
          <w:bCs/>
          <w:sz w:val="22"/>
          <w:szCs w:val="22"/>
        </w:rPr>
      </w:pPr>
      <w:r w:rsidRPr="006E608D">
        <w:rPr>
          <w:strike/>
          <w:sz w:val="22"/>
          <w:szCs w:val="22"/>
          <w:highlight w:val="yellow"/>
          <w:u w:val="single"/>
        </w:rPr>
        <w:t>Startup, Shutdown or Malfunction</w:t>
      </w:r>
      <w:r w:rsidRPr="006E608D">
        <w:rPr>
          <w:sz w:val="22"/>
          <w:szCs w:val="22"/>
          <w:highlight w:val="yellow"/>
          <w:u w:val="single"/>
        </w:rPr>
        <w:t xml:space="preserve"> </w:t>
      </w:r>
      <w:r w:rsidRPr="006E608D">
        <w:rPr>
          <w:sz w:val="22"/>
          <w:szCs w:val="22"/>
          <w:highlight w:val="yellow"/>
          <w:u w:val="double"/>
        </w:rPr>
        <w:t>Excess Emissions Allowed</w:t>
      </w:r>
      <w:r w:rsidRPr="006E608D">
        <w:rPr>
          <w:sz w:val="22"/>
          <w:szCs w:val="22"/>
        </w:rPr>
        <w:t xml:space="preserve">.  </w:t>
      </w:r>
      <w:r w:rsidRPr="006E608D">
        <w:rPr>
          <w:strike/>
          <w:sz w:val="22"/>
          <w:szCs w:val="22"/>
          <w:highlight w:val="yellow"/>
        </w:rPr>
        <w:t>In order to minimize excess emissions during startup/shutdown/ malfunction the following general procedures shall be followed:</w:t>
      </w:r>
      <w:r w:rsidRPr="006E608D">
        <w:rPr>
          <w:sz w:val="22"/>
          <w:szCs w:val="22"/>
        </w:rPr>
        <w:t xml:space="preserve">  Excess emissions resulting from startup, shutdown or malfunction of any emissions unit shall be permitted provid</w:t>
      </w:r>
      <w:r w:rsidRPr="006E608D">
        <w:rPr>
          <w:sz w:val="22"/>
          <w:szCs w:val="22"/>
          <w:highlight w:val="yellow"/>
          <w:u w:val="double"/>
        </w:rPr>
        <w:t>ed</w:t>
      </w:r>
      <w:r w:rsidRPr="006E608D">
        <w:rPr>
          <w:strike/>
          <w:sz w:val="22"/>
          <w:szCs w:val="22"/>
          <w:highlight w:val="yellow"/>
        </w:rPr>
        <w:t>ing</w:t>
      </w:r>
      <w:r w:rsidRPr="006E608D">
        <w:rPr>
          <w:sz w:val="22"/>
          <w:szCs w:val="22"/>
        </w:rPr>
        <w:t>:</w:t>
      </w:r>
    </w:p>
    <w:p w:rsidR="006E608D" w:rsidRPr="006E608D" w:rsidRDefault="006E608D" w:rsidP="00CB423F">
      <w:pPr>
        <w:pStyle w:val="ListParagraph"/>
        <w:numPr>
          <w:ilvl w:val="0"/>
          <w:numId w:val="6"/>
        </w:numPr>
        <w:tabs>
          <w:tab w:val="left" w:pos="1080"/>
        </w:tabs>
        <w:spacing w:after="120"/>
        <w:ind w:left="1080"/>
        <w:rPr>
          <w:bCs/>
          <w:sz w:val="22"/>
          <w:szCs w:val="22"/>
        </w:rPr>
      </w:pPr>
      <w:r w:rsidRPr="006E608D">
        <w:rPr>
          <w:sz w:val="22"/>
          <w:szCs w:val="22"/>
        </w:rPr>
        <w:t>best operational practices to minimize emissions are adhered to, and</w:t>
      </w:r>
    </w:p>
    <w:p w:rsidR="006E608D" w:rsidRPr="006E608D" w:rsidRDefault="006E608D" w:rsidP="00CB423F">
      <w:pPr>
        <w:pStyle w:val="ListParagraph"/>
        <w:numPr>
          <w:ilvl w:val="0"/>
          <w:numId w:val="6"/>
        </w:numPr>
        <w:tabs>
          <w:tab w:val="left" w:pos="1080"/>
        </w:tabs>
        <w:spacing w:after="120"/>
        <w:ind w:left="1080"/>
        <w:rPr>
          <w:bCs/>
          <w:sz w:val="22"/>
          <w:szCs w:val="22"/>
        </w:rPr>
      </w:pPr>
      <w:r w:rsidRPr="006E608D">
        <w:rPr>
          <w:sz w:val="22"/>
          <w:szCs w:val="22"/>
        </w:rPr>
        <w:t>the duration of excess emissions shall be minimized but in no case exceed two hours in any 24</w:t>
      </w:r>
      <w:r w:rsidRPr="006E608D">
        <w:rPr>
          <w:sz w:val="22"/>
          <w:szCs w:val="22"/>
          <w:highlight w:val="yellow"/>
          <w:u w:val="double"/>
        </w:rPr>
        <w:t>-</w:t>
      </w:r>
      <w:r w:rsidRPr="006E608D">
        <w:rPr>
          <w:sz w:val="22"/>
          <w:szCs w:val="22"/>
        </w:rPr>
        <w:t>hour period unless specifically authorized by the Department for longer duration.</w:t>
      </w:r>
    </w:p>
    <w:p w:rsidR="006E608D" w:rsidRDefault="006E608D" w:rsidP="006E608D">
      <w:pPr>
        <w:pStyle w:val="ListParagraph"/>
        <w:tabs>
          <w:tab w:val="left" w:pos="1080"/>
        </w:tabs>
        <w:spacing w:after="120"/>
        <w:contextualSpacing w:val="0"/>
        <w:rPr>
          <w:sz w:val="22"/>
          <w:szCs w:val="22"/>
        </w:rPr>
      </w:pPr>
      <w:r w:rsidRPr="006E608D">
        <w:rPr>
          <w:sz w:val="22"/>
          <w:szCs w:val="22"/>
        </w:rPr>
        <w:t xml:space="preserve">[Rules 62-210.700(1) </w:t>
      </w:r>
      <w:r w:rsidRPr="006E608D">
        <w:rPr>
          <w:strike/>
          <w:sz w:val="22"/>
          <w:szCs w:val="22"/>
          <w:highlight w:val="yellow"/>
        </w:rPr>
        <w:t>&amp; (2)</w:t>
      </w:r>
      <w:r w:rsidRPr="006E608D">
        <w:rPr>
          <w:sz w:val="22"/>
          <w:szCs w:val="22"/>
        </w:rPr>
        <w:t xml:space="preserve">, F.A.C.; </w:t>
      </w:r>
      <w:r w:rsidRPr="006E608D">
        <w:rPr>
          <w:sz w:val="22"/>
          <w:szCs w:val="22"/>
          <w:highlight w:val="yellow"/>
          <w:u w:val="double"/>
        </w:rPr>
        <w:t>and, Permit Nos.</w:t>
      </w:r>
      <w:r w:rsidRPr="006E608D">
        <w:rPr>
          <w:sz w:val="22"/>
          <w:szCs w:val="22"/>
        </w:rPr>
        <w:t xml:space="preserve"> AO43-170568</w:t>
      </w:r>
      <w:r w:rsidRPr="006E608D">
        <w:rPr>
          <w:strike/>
          <w:sz w:val="22"/>
          <w:szCs w:val="22"/>
          <w:highlight w:val="yellow"/>
        </w:rPr>
        <w:t>, Specific Condition 9.; and</w:t>
      </w:r>
      <w:r w:rsidRPr="006E608D">
        <w:rPr>
          <w:sz w:val="22"/>
          <w:szCs w:val="22"/>
        </w:rPr>
        <w:t xml:space="preserve"> </w:t>
      </w:r>
      <w:r w:rsidRPr="006E608D">
        <w:rPr>
          <w:sz w:val="22"/>
          <w:szCs w:val="22"/>
          <w:highlight w:val="yellow"/>
          <w:u w:val="double"/>
        </w:rPr>
        <w:t>&amp;</w:t>
      </w:r>
      <w:r w:rsidRPr="006E608D">
        <w:rPr>
          <w:sz w:val="22"/>
          <w:szCs w:val="22"/>
        </w:rPr>
        <w:t xml:space="preserve"> AO43-170567, Specific Condition 9.]</w:t>
      </w:r>
    </w:p>
    <w:p w:rsidR="006E608D" w:rsidRDefault="006E608D" w:rsidP="00CB423F">
      <w:pPr>
        <w:pStyle w:val="ListParagraph"/>
        <w:numPr>
          <w:ilvl w:val="0"/>
          <w:numId w:val="1"/>
        </w:numPr>
        <w:tabs>
          <w:tab w:val="left" w:pos="360"/>
        </w:tabs>
        <w:spacing w:after="120"/>
        <w:contextualSpacing w:val="0"/>
        <w:rPr>
          <w:bCs/>
          <w:sz w:val="22"/>
          <w:szCs w:val="22"/>
        </w:rPr>
      </w:pPr>
      <w:r>
        <w:rPr>
          <w:bCs/>
          <w:sz w:val="22"/>
          <w:szCs w:val="22"/>
        </w:rPr>
        <w:t xml:space="preserve">To reflect current Title V air operation permit format standards, Specific Condition </w:t>
      </w:r>
      <w:r>
        <w:rPr>
          <w:b/>
          <w:bCs/>
          <w:sz w:val="22"/>
          <w:szCs w:val="22"/>
        </w:rPr>
        <w:t>A.18</w:t>
      </w:r>
      <w:r>
        <w:rPr>
          <w:bCs/>
          <w:sz w:val="22"/>
          <w:szCs w:val="22"/>
        </w:rPr>
        <w:t xml:space="preserve"> has been added as follows:</w:t>
      </w:r>
    </w:p>
    <w:p w:rsidR="006E608D" w:rsidRPr="009D423D" w:rsidRDefault="006E608D" w:rsidP="00CB423F">
      <w:pPr>
        <w:numPr>
          <w:ilvl w:val="0"/>
          <w:numId w:val="5"/>
        </w:numPr>
        <w:tabs>
          <w:tab w:val="clear" w:pos="1836"/>
          <w:tab w:val="left" w:pos="1080"/>
        </w:tabs>
        <w:spacing w:after="120"/>
        <w:ind w:left="720" w:hanging="360"/>
        <w:rPr>
          <w:bCs/>
          <w:sz w:val="22"/>
          <w:szCs w:val="22"/>
          <w:highlight w:val="yellow"/>
        </w:rPr>
      </w:pPr>
      <w:r w:rsidRPr="009D423D">
        <w:rPr>
          <w:sz w:val="22"/>
          <w:szCs w:val="22"/>
          <w:highlight w:val="yellow"/>
          <w:u w:val="double"/>
        </w:rPr>
        <w:t>Excess Emissions Prohibited.  Excess emissions which are caused entirely or in part by poor maintenance, poor operation, or any other equipment or process failure which may reasonably be prevented during startup, shutdown or malfunction shall be prohibited.  [Rule 62-210.700(1), F.A.C.]</w:t>
      </w:r>
    </w:p>
    <w:p w:rsidR="006E608D" w:rsidRDefault="006E608D" w:rsidP="00CB423F">
      <w:pPr>
        <w:pStyle w:val="ListParagraph"/>
        <w:numPr>
          <w:ilvl w:val="0"/>
          <w:numId w:val="1"/>
        </w:numPr>
        <w:tabs>
          <w:tab w:val="left" w:pos="360"/>
        </w:tabs>
        <w:spacing w:after="120"/>
        <w:contextualSpacing w:val="0"/>
        <w:rPr>
          <w:bCs/>
          <w:sz w:val="22"/>
          <w:szCs w:val="22"/>
        </w:rPr>
      </w:pPr>
      <w:bookmarkStart w:id="7" w:name="_Ref520123966"/>
      <w:r>
        <w:rPr>
          <w:bCs/>
          <w:sz w:val="22"/>
          <w:szCs w:val="22"/>
        </w:rPr>
        <w:t>Excess emissions provisions from NSPS Subpart D have been added as follows:</w:t>
      </w:r>
      <w:bookmarkEnd w:id="7"/>
    </w:p>
    <w:p w:rsidR="006E608D" w:rsidRPr="009D423D" w:rsidRDefault="00D2358E" w:rsidP="00CB423F">
      <w:pPr>
        <w:numPr>
          <w:ilvl w:val="0"/>
          <w:numId w:val="5"/>
        </w:numPr>
        <w:tabs>
          <w:tab w:val="clear" w:pos="1836"/>
          <w:tab w:val="left" w:pos="1080"/>
        </w:tabs>
        <w:ind w:left="720" w:hanging="360"/>
        <w:rPr>
          <w:bCs/>
          <w:sz w:val="22"/>
          <w:szCs w:val="22"/>
          <w:highlight w:val="yellow"/>
        </w:rPr>
      </w:pPr>
      <w:r w:rsidRPr="009D423D">
        <w:rPr>
          <w:sz w:val="22"/>
          <w:szCs w:val="22"/>
          <w:highlight w:val="yellow"/>
          <w:u w:val="double"/>
        </w:rPr>
        <w:t>NSPS Excess Emissions.  Excess emissions with are defined with respect to the standards in NSPS Subpart D are defined as follows:</w:t>
      </w:r>
    </w:p>
    <w:p w:rsidR="00D2358E" w:rsidRPr="009D423D" w:rsidRDefault="009D423D" w:rsidP="00CB423F">
      <w:pPr>
        <w:pStyle w:val="ListParagraph"/>
        <w:numPr>
          <w:ilvl w:val="0"/>
          <w:numId w:val="7"/>
        </w:numPr>
        <w:tabs>
          <w:tab w:val="left" w:pos="1080"/>
        </w:tabs>
        <w:spacing w:after="120"/>
        <w:rPr>
          <w:bCs/>
          <w:sz w:val="22"/>
          <w:szCs w:val="22"/>
          <w:highlight w:val="yellow"/>
        </w:rPr>
      </w:pPr>
      <w:r w:rsidRPr="009D423D">
        <w:rPr>
          <w:i/>
          <w:sz w:val="22"/>
          <w:szCs w:val="22"/>
          <w:highlight w:val="yellow"/>
          <w:u w:val="double"/>
        </w:rPr>
        <w:t>Visible Emissions</w:t>
      </w:r>
      <w:r w:rsidRPr="009D423D">
        <w:rPr>
          <w:sz w:val="22"/>
          <w:szCs w:val="22"/>
          <w:highlight w:val="yellow"/>
          <w:u w:val="double"/>
        </w:rPr>
        <w:t xml:space="preserve">.  Excess VE are defined as any 6-minute period during which the average opacity of emissions exceeds 20% opacity, except that one 6-minute average per hour of up to 27% opacity need not need be reported (see Specific Condition </w:t>
      </w:r>
      <w:r w:rsidRPr="009D423D">
        <w:rPr>
          <w:b/>
          <w:sz w:val="22"/>
          <w:szCs w:val="22"/>
          <w:highlight w:val="yellow"/>
          <w:u w:val="double"/>
        </w:rPr>
        <w:t>A.12</w:t>
      </w:r>
      <w:r w:rsidRPr="009D423D">
        <w:rPr>
          <w:sz w:val="22"/>
          <w:szCs w:val="22"/>
          <w:highlight w:val="yellow"/>
          <w:u w:val="double"/>
        </w:rPr>
        <w:t>).</w:t>
      </w:r>
    </w:p>
    <w:p w:rsidR="009D423D" w:rsidRPr="009D423D" w:rsidRDefault="009D423D" w:rsidP="00CB423F">
      <w:pPr>
        <w:pStyle w:val="ListParagraph"/>
        <w:numPr>
          <w:ilvl w:val="0"/>
          <w:numId w:val="7"/>
        </w:numPr>
        <w:tabs>
          <w:tab w:val="left" w:pos="1080"/>
        </w:tabs>
        <w:spacing w:after="120"/>
        <w:rPr>
          <w:bCs/>
          <w:sz w:val="22"/>
          <w:szCs w:val="22"/>
          <w:highlight w:val="yellow"/>
        </w:rPr>
      </w:pPr>
      <w:r w:rsidRPr="009D423D">
        <w:rPr>
          <w:i/>
          <w:sz w:val="22"/>
          <w:szCs w:val="22"/>
          <w:highlight w:val="yellow"/>
          <w:u w:val="double"/>
        </w:rPr>
        <w:t>Sulfur Dioxide</w:t>
      </w:r>
      <w:r w:rsidRPr="009D423D">
        <w:rPr>
          <w:sz w:val="22"/>
          <w:szCs w:val="22"/>
          <w:highlight w:val="yellow"/>
          <w:u w:val="double"/>
        </w:rPr>
        <w:t>.  Excess SO</w:t>
      </w:r>
      <w:r w:rsidRPr="009D423D">
        <w:rPr>
          <w:sz w:val="22"/>
          <w:szCs w:val="22"/>
          <w:highlight w:val="yellow"/>
          <w:u w:val="double"/>
          <w:vertAlign w:val="subscript"/>
        </w:rPr>
        <w:t>2</w:t>
      </w:r>
      <w:r w:rsidRPr="009D423D">
        <w:rPr>
          <w:sz w:val="22"/>
          <w:szCs w:val="22"/>
          <w:highlight w:val="yellow"/>
          <w:u w:val="double"/>
        </w:rPr>
        <w:t xml:space="preserve"> emissions are defined as any 3-hour period during which the average emissions (arithmetic average of 3 contiguous 1-hour periods) of SO</w:t>
      </w:r>
      <w:r w:rsidRPr="009D423D">
        <w:rPr>
          <w:sz w:val="22"/>
          <w:szCs w:val="22"/>
          <w:highlight w:val="yellow"/>
          <w:u w:val="double"/>
          <w:vertAlign w:val="subscript"/>
        </w:rPr>
        <w:t>2</w:t>
      </w:r>
      <w:r w:rsidRPr="009D423D">
        <w:rPr>
          <w:sz w:val="22"/>
          <w:szCs w:val="22"/>
          <w:highlight w:val="yellow"/>
          <w:u w:val="double"/>
        </w:rPr>
        <w:t xml:space="preserve"> as measured by a CEMS exceed the applicable standard in Specific Condition </w:t>
      </w:r>
      <w:r w:rsidRPr="009D423D">
        <w:rPr>
          <w:b/>
          <w:sz w:val="22"/>
          <w:szCs w:val="22"/>
          <w:highlight w:val="yellow"/>
          <w:u w:val="double"/>
        </w:rPr>
        <w:t>A.13</w:t>
      </w:r>
      <w:r w:rsidRPr="009D423D">
        <w:rPr>
          <w:sz w:val="22"/>
          <w:szCs w:val="22"/>
          <w:highlight w:val="yellow"/>
          <w:u w:val="double"/>
        </w:rPr>
        <w:t>.</w:t>
      </w:r>
    </w:p>
    <w:p w:rsidR="009D423D" w:rsidRPr="009D423D" w:rsidRDefault="009D423D" w:rsidP="00CB423F">
      <w:pPr>
        <w:pStyle w:val="ListParagraph"/>
        <w:numPr>
          <w:ilvl w:val="0"/>
          <w:numId w:val="7"/>
        </w:numPr>
        <w:tabs>
          <w:tab w:val="left" w:pos="1080"/>
        </w:tabs>
        <w:spacing w:after="120"/>
        <w:rPr>
          <w:bCs/>
          <w:sz w:val="22"/>
          <w:szCs w:val="22"/>
          <w:highlight w:val="yellow"/>
        </w:rPr>
      </w:pPr>
      <w:r w:rsidRPr="009D423D">
        <w:rPr>
          <w:i/>
          <w:sz w:val="22"/>
          <w:szCs w:val="22"/>
          <w:highlight w:val="yellow"/>
          <w:u w:val="double"/>
        </w:rPr>
        <w:t>Nitrogen Oxides</w:t>
      </w:r>
      <w:r w:rsidRPr="009D423D">
        <w:rPr>
          <w:sz w:val="22"/>
          <w:szCs w:val="22"/>
          <w:highlight w:val="yellow"/>
          <w:u w:val="double"/>
        </w:rPr>
        <w:t>.  Excess NO</w:t>
      </w:r>
      <w:r w:rsidRPr="009D423D">
        <w:rPr>
          <w:sz w:val="22"/>
          <w:szCs w:val="22"/>
          <w:highlight w:val="yellow"/>
          <w:u w:val="double"/>
          <w:vertAlign w:val="subscript"/>
        </w:rPr>
        <w:t>X</w:t>
      </w:r>
      <w:r w:rsidRPr="009D423D">
        <w:rPr>
          <w:sz w:val="22"/>
          <w:szCs w:val="22"/>
          <w:highlight w:val="yellow"/>
          <w:u w:val="double"/>
        </w:rPr>
        <w:t xml:space="preserve"> emissions are defined as any 3-hour period during which the average emissions (arithmetic average of 3 contiguous 1-hour periods) exceed the applicable standard in Specific Condition </w:t>
      </w:r>
      <w:r w:rsidRPr="009D423D">
        <w:rPr>
          <w:b/>
          <w:sz w:val="22"/>
          <w:szCs w:val="22"/>
          <w:highlight w:val="yellow"/>
          <w:u w:val="double"/>
        </w:rPr>
        <w:t>A.14</w:t>
      </w:r>
      <w:r w:rsidRPr="009D423D">
        <w:rPr>
          <w:sz w:val="22"/>
          <w:szCs w:val="22"/>
          <w:highlight w:val="yellow"/>
          <w:u w:val="double"/>
        </w:rPr>
        <w:t>.</w:t>
      </w:r>
    </w:p>
    <w:p w:rsidR="009D423D" w:rsidRDefault="009D423D" w:rsidP="000A3614">
      <w:pPr>
        <w:pStyle w:val="ListParagraph"/>
        <w:tabs>
          <w:tab w:val="left" w:pos="1080"/>
        </w:tabs>
        <w:spacing w:after="120"/>
        <w:contextualSpacing w:val="0"/>
        <w:rPr>
          <w:sz w:val="22"/>
          <w:szCs w:val="22"/>
          <w:highlight w:val="yellow"/>
          <w:u w:val="double"/>
        </w:rPr>
      </w:pPr>
      <w:r w:rsidRPr="009D423D">
        <w:rPr>
          <w:sz w:val="22"/>
          <w:szCs w:val="22"/>
          <w:highlight w:val="yellow"/>
          <w:u w:val="double"/>
        </w:rPr>
        <w:t>[40 CFR 60.45(g)(1), (2) &amp; (3)]</w:t>
      </w:r>
    </w:p>
    <w:p w:rsidR="00A61847" w:rsidRDefault="00A61847" w:rsidP="00CB423F">
      <w:pPr>
        <w:pStyle w:val="ListParagraph"/>
        <w:numPr>
          <w:ilvl w:val="0"/>
          <w:numId w:val="1"/>
        </w:numPr>
        <w:tabs>
          <w:tab w:val="left" w:pos="360"/>
        </w:tabs>
        <w:spacing w:after="120"/>
        <w:contextualSpacing w:val="0"/>
        <w:rPr>
          <w:bCs/>
          <w:sz w:val="22"/>
          <w:szCs w:val="22"/>
        </w:rPr>
      </w:pPr>
      <w:r>
        <w:rPr>
          <w:bCs/>
          <w:sz w:val="22"/>
          <w:szCs w:val="22"/>
        </w:rPr>
        <w:t xml:space="preserve">The </w:t>
      </w:r>
      <w:r>
        <w:rPr>
          <w:b/>
          <w:bCs/>
          <w:sz w:val="22"/>
          <w:szCs w:val="22"/>
          <w:u w:val="single"/>
        </w:rPr>
        <w:t>Monitoring Requirements</w:t>
      </w:r>
      <w:r>
        <w:rPr>
          <w:bCs/>
          <w:sz w:val="22"/>
          <w:szCs w:val="22"/>
        </w:rPr>
        <w:t xml:space="preserve"> section has been renamed to </w:t>
      </w:r>
      <w:r>
        <w:rPr>
          <w:b/>
          <w:bCs/>
          <w:sz w:val="22"/>
          <w:szCs w:val="22"/>
          <w:u w:val="single"/>
        </w:rPr>
        <w:t>Monitoring of Operations</w:t>
      </w:r>
      <w:r>
        <w:rPr>
          <w:bCs/>
          <w:sz w:val="22"/>
          <w:szCs w:val="22"/>
        </w:rPr>
        <w:t xml:space="preserve"> to reflect current Title V air operation permit format standards.</w:t>
      </w:r>
    </w:p>
    <w:p w:rsidR="000A3614" w:rsidRDefault="000A3614" w:rsidP="00CB423F">
      <w:pPr>
        <w:pStyle w:val="ListParagraph"/>
        <w:numPr>
          <w:ilvl w:val="0"/>
          <w:numId w:val="1"/>
        </w:numPr>
        <w:tabs>
          <w:tab w:val="left" w:pos="360"/>
        </w:tabs>
        <w:spacing w:after="120"/>
        <w:contextualSpacing w:val="0"/>
        <w:rPr>
          <w:bCs/>
          <w:sz w:val="22"/>
          <w:szCs w:val="22"/>
        </w:rPr>
      </w:pPr>
      <w:bookmarkStart w:id="8" w:name="_Ref520102841"/>
      <w:r w:rsidRPr="000A3614">
        <w:rPr>
          <w:bCs/>
          <w:sz w:val="22"/>
          <w:szCs w:val="22"/>
        </w:rPr>
        <w:t xml:space="preserve">Specific Condition </w:t>
      </w:r>
      <w:r w:rsidRPr="000A3614">
        <w:rPr>
          <w:b/>
          <w:bCs/>
          <w:sz w:val="22"/>
          <w:szCs w:val="22"/>
        </w:rPr>
        <w:t>A.3</w:t>
      </w:r>
      <w:r w:rsidR="00060D93">
        <w:rPr>
          <w:b/>
          <w:bCs/>
          <w:sz w:val="22"/>
          <w:szCs w:val="22"/>
        </w:rPr>
        <w:t>5</w:t>
      </w:r>
      <w:r w:rsidRPr="000A3614">
        <w:rPr>
          <w:bCs/>
          <w:sz w:val="22"/>
          <w:szCs w:val="22"/>
        </w:rPr>
        <w:t xml:space="preserve"> (CAM Plan) has been deleted, revised and moved to the</w:t>
      </w:r>
      <w:r w:rsidRPr="000A3614">
        <w:rPr>
          <w:sz w:val="22"/>
          <w:szCs w:val="22"/>
        </w:rPr>
        <w:t xml:space="preserve"> </w:t>
      </w:r>
      <w:r w:rsidRPr="000A3614">
        <w:rPr>
          <w:b/>
          <w:sz w:val="22"/>
          <w:szCs w:val="22"/>
          <w:u w:val="single"/>
        </w:rPr>
        <w:t>Monitoring of Operations</w:t>
      </w:r>
      <w:r w:rsidRPr="000A3614">
        <w:rPr>
          <w:sz w:val="22"/>
          <w:szCs w:val="22"/>
        </w:rPr>
        <w:t xml:space="preserve"> section to reflect minor clarifications, citation corrections and current Title V air operation </w:t>
      </w:r>
      <w:r w:rsidRPr="000A3614">
        <w:rPr>
          <w:bCs/>
          <w:sz w:val="22"/>
          <w:szCs w:val="22"/>
        </w:rPr>
        <w:t>permit format standards.  This condition appears as follows:</w:t>
      </w:r>
      <w:bookmarkEnd w:id="8"/>
      <w:r w:rsidRPr="000A3614">
        <w:rPr>
          <w:bCs/>
          <w:sz w:val="22"/>
          <w:szCs w:val="22"/>
        </w:rPr>
        <w:t xml:space="preserve"> </w:t>
      </w:r>
    </w:p>
    <w:p w:rsidR="00A60BFB" w:rsidRPr="00A60BFB" w:rsidRDefault="00A60BFB" w:rsidP="00A60BFB">
      <w:pPr>
        <w:pStyle w:val="ListParagraph"/>
        <w:tabs>
          <w:tab w:val="left" w:pos="360"/>
        </w:tabs>
        <w:spacing w:after="120"/>
        <w:ind w:left="360"/>
        <w:contextualSpacing w:val="0"/>
        <w:rPr>
          <w:bCs/>
          <w:sz w:val="24"/>
          <w:szCs w:val="22"/>
        </w:rPr>
      </w:pPr>
      <w:r w:rsidRPr="00A60BFB">
        <w:rPr>
          <w:b/>
          <w:sz w:val="22"/>
          <w:u w:val="single"/>
        </w:rPr>
        <w:t xml:space="preserve">Monitoring </w:t>
      </w:r>
      <w:r w:rsidRPr="00A60BFB">
        <w:rPr>
          <w:b/>
          <w:strike/>
          <w:sz w:val="22"/>
          <w:highlight w:val="yellow"/>
          <w:u w:val="single"/>
        </w:rPr>
        <w:t>Requirements</w:t>
      </w:r>
      <w:r w:rsidRPr="00A60BFB">
        <w:rPr>
          <w:b/>
          <w:sz w:val="22"/>
          <w:u w:val="single"/>
        </w:rPr>
        <w:t xml:space="preserve"> </w:t>
      </w:r>
      <w:r w:rsidRPr="00A60BFB">
        <w:rPr>
          <w:b/>
          <w:sz w:val="22"/>
          <w:highlight w:val="yellow"/>
          <w:u w:val="double"/>
        </w:rPr>
        <w:t>of Operations</w:t>
      </w:r>
    </w:p>
    <w:p w:rsidR="000A3614" w:rsidRPr="00A61847" w:rsidRDefault="000A3614" w:rsidP="00CB423F">
      <w:pPr>
        <w:numPr>
          <w:ilvl w:val="0"/>
          <w:numId w:val="5"/>
        </w:numPr>
        <w:tabs>
          <w:tab w:val="clear" w:pos="1836"/>
          <w:tab w:val="left" w:pos="1080"/>
        </w:tabs>
        <w:spacing w:after="120"/>
        <w:ind w:left="720" w:hanging="360"/>
        <w:rPr>
          <w:bCs/>
          <w:sz w:val="22"/>
          <w:szCs w:val="22"/>
        </w:rPr>
      </w:pPr>
      <w:r w:rsidRPr="000A3614">
        <w:rPr>
          <w:sz w:val="22"/>
          <w:szCs w:val="22"/>
          <w:u w:val="single"/>
        </w:rPr>
        <w:t>CAM Plan</w:t>
      </w:r>
      <w:r w:rsidRPr="000A3614">
        <w:rPr>
          <w:sz w:val="22"/>
          <w:szCs w:val="22"/>
        </w:rPr>
        <w:t>.  When these emissions units meet the definition of “natural gas-fired electric utility steam generating unit”</w:t>
      </w:r>
      <w:r w:rsidRPr="000A3614">
        <w:rPr>
          <w:sz w:val="22"/>
          <w:szCs w:val="22"/>
          <w:highlight w:val="yellow"/>
          <w:u w:val="double"/>
        </w:rPr>
        <w:t>, as defined in 40 CFR 63.10042,</w:t>
      </w:r>
      <w:r w:rsidRPr="000A3614">
        <w:rPr>
          <w:sz w:val="22"/>
          <w:szCs w:val="22"/>
        </w:rPr>
        <w:t xml:space="preserve"> these emissions units are subject to the Compliance Assurance Monitoring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w:t>
      </w:r>
      <w:r w:rsidRPr="000A3614">
        <w:rPr>
          <w:strike/>
          <w:sz w:val="22"/>
          <w:szCs w:val="22"/>
          <w:highlight w:val="yellow"/>
        </w:rPr>
        <w:t>7</w:t>
      </w:r>
      <w:r w:rsidRPr="000A3614">
        <w:rPr>
          <w:sz w:val="22"/>
          <w:szCs w:val="22"/>
          <w:highlight w:val="yellow"/>
          <w:u w:val="double"/>
        </w:rPr>
        <w:t>8</w:t>
      </w:r>
      <w:r w:rsidRPr="000A3614">
        <w:rPr>
          <w:sz w:val="22"/>
          <w:szCs w:val="22"/>
        </w:rPr>
        <w:t>)(</w:t>
      </w:r>
      <w:r w:rsidRPr="000A3614">
        <w:rPr>
          <w:strike/>
          <w:sz w:val="22"/>
          <w:szCs w:val="22"/>
          <w:highlight w:val="yellow"/>
        </w:rPr>
        <w:t>b</w:t>
      </w:r>
      <w:r w:rsidRPr="000A3614">
        <w:rPr>
          <w:sz w:val="22"/>
          <w:szCs w:val="22"/>
          <w:highlight w:val="yellow"/>
          <w:u w:val="double"/>
        </w:rPr>
        <w:t>c</w:t>
      </w:r>
      <w:r w:rsidRPr="000A3614">
        <w:rPr>
          <w:sz w:val="22"/>
          <w:szCs w:val="22"/>
        </w:rPr>
        <w:t>), F.A.C.  [</w:t>
      </w:r>
      <w:r w:rsidRPr="000A3614">
        <w:rPr>
          <w:strike/>
          <w:sz w:val="22"/>
          <w:szCs w:val="22"/>
          <w:highlight w:val="yellow"/>
        </w:rPr>
        <w:t>40 CFR 64;</w:t>
      </w:r>
      <w:r w:rsidRPr="000A3614">
        <w:rPr>
          <w:sz w:val="22"/>
          <w:szCs w:val="22"/>
        </w:rPr>
        <w:t xml:space="preserve"> Rules 62-204.800</w:t>
      </w:r>
      <w:r w:rsidRPr="000A3614">
        <w:rPr>
          <w:sz w:val="22"/>
          <w:szCs w:val="22"/>
          <w:highlight w:val="yellow"/>
          <w:u w:val="double"/>
        </w:rPr>
        <w:t>; 40 CFR 64;</w:t>
      </w:r>
      <w:r w:rsidRPr="000A3614">
        <w:rPr>
          <w:sz w:val="22"/>
          <w:szCs w:val="22"/>
        </w:rPr>
        <w:t xml:space="preserve"> and</w:t>
      </w:r>
      <w:r w:rsidRPr="000A3614">
        <w:rPr>
          <w:sz w:val="22"/>
          <w:szCs w:val="22"/>
          <w:highlight w:val="yellow"/>
          <w:u w:val="double"/>
        </w:rPr>
        <w:t>,</w:t>
      </w:r>
      <w:r w:rsidRPr="000A3614">
        <w:rPr>
          <w:sz w:val="22"/>
          <w:szCs w:val="22"/>
        </w:rPr>
        <w:t xml:space="preserve"> 62-213.440(1)(b)1.a., F.A.C.]</w:t>
      </w:r>
    </w:p>
    <w:p w:rsidR="00A61847" w:rsidRDefault="00A61847" w:rsidP="00CB423F">
      <w:pPr>
        <w:pStyle w:val="ListParagraph"/>
        <w:numPr>
          <w:ilvl w:val="0"/>
          <w:numId w:val="1"/>
        </w:numPr>
        <w:tabs>
          <w:tab w:val="left" w:pos="360"/>
        </w:tabs>
        <w:spacing w:after="120"/>
        <w:contextualSpacing w:val="0"/>
        <w:rPr>
          <w:bCs/>
          <w:sz w:val="22"/>
          <w:szCs w:val="22"/>
        </w:rPr>
      </w:pPr>
      <w:r>
        <w:rPr>
          <w:bCs/>
          <w:sz w:val="22"/>
          <w:szCs w:val="22"/>
        </w:rPr>
        <w:t xml:space="preserve">Rule 62-296.405(1)(f)1., F.A.C. only applies to existing fossil fuel fired steam generators, as defined in Rule 62-210.200, F.A.C.  Martin Units 1 and 2 are not existing units.  Therefore, Specific Condition </w:t>
      </w:r>
      <w:r>
        <w:rPr>
          <w:b/>
          <w:bCs/>
          <w:sz w:val="22"/>
          <w:szCs w:val="22"/>
        </w:rPr>
        <w:t>A.21</w:t>
      </w:r>
      <w:r>
        <w:rPr>
          <w:bCs/>
          <w:sz w:val="22"/>
          <w:szCs w:val="22"/>
        </w:rPr>
        <w:t xml:space="preserve"> has been revised as follows:</w:t>
      </w:r>
    </w:p>
    <w:p w:rsidR="00A61847" w:rsidRPr="00A61847" w:rsidRDefault="00A61847" w:rsidP="00CB423F">
      <w:pPr>
        <w:numPr>
          <w:ilvl w:val="0"/>
          <w:numId w:val="5"/>
        </w:numPr>
        <w:tabs>
          <w:tab w:val="clear" w:pos="1836"/>
          <w:tab w:val="left" w:pos="1080"/>
        </w:tabs>
        <w:spacing w:after="120"/>
        <w:ind w:left="720" w:hanging="360"/>
        <w:rPr>
          <w:bCs/>
          <w:sz w:val="22"/>
          <w:szCs w:val="22"/>
        </w:rPr>
      </w:pPr>
      <w:bookmarkStart w:id="9" w:name="_Ref504048687"/>
      <w:r w:rsidRPr="00A61847">
        <w:rPr>
          <w:sz w:val="22"/>
          <w:szCs w:val="22"/>
          <w:u w:val="single"/>
        </w:rPr>
        <w:t>COMS for Periodic Monitoring</w:t>
      </w:r>
      <w:r w:rsidRPr="00A61847">
        <w:rPr>
          <w:sz w:val="22"/>
          <w:szCs w:val="22"/>
        </w:rPr>
        <w:t>.  When required, the owner or operator shall maintain and operate continuous opacity monitoring systems (COMS) pursuant to 40 CFR Part 75.  The owner or operator shall maintain and operate COMS and shall make and maintain records of opacity measured by the COMS, for purposes of periodic monitoring.  [Rule 62-213.440, F.A.C.; and applicant agreement with EPA on March 3, 1998</w:t>
      </w:r>
      <w:r w:rsidRPr="00A61847">
        <w:rPr>
          <w:strike/>
          <w:sz w:val="22"/>
          <w:szCs w:val="22"/>
          <w:highlight w:val="yellow"/>
        </w:rPr>
        <w:t>.</w:t>
      </w:r>
      <w:r w:rsidRPr="00A61847">
        <w:rPr>
          <w:sz w:val="22"/>
          <w:szCs w:val="22"/>
        </w:rPr>
        <w:t>]</w:t>
      </w:r>
      <w:bookmarkEnd w:id="9"/>
    </w:p>
    <w:p w:rsidR="00A61847" w:rsidRDefault="00A61847" w:rsidP="00A61847">
      <w:pPr>
        <w:tabs>
          <w:tab w:val="left" w:pos="1080"/>
        </w:tabs>
        <w:spacing w:after="120"/>
        <w:ind w:left="720"/>
        <w:rPr>
          <w:i/>
          <w:sz w:val="22"/>
          <w:szCs w:val="22"/>
        </w:rPr>
      </w:pPr>
      <w:r w:rsidRPr="00A61847">
        <w:rPr>
          <w:i/>
          <w:sz w:val="22"/>
          <w:szCs w:val="22"/>
        </w:rPr>
        <w:t xml:space="preserve">{Permitting Note:  In addition, Units 1 or 2 are no longer required to operate continuous opacity monitors (COMS) so long as each unit maintains “gas-firing” status according to 40 CFR Part 75.  40 CFR Part 75 exempts “gas-fired” units from opacity monitor requirements by way of the definition in 40 CFR 72.2.  The Martin Units 1 &amp; 2 meet the gas-fired definition.  </w:t>
      </w:r>
      <w:r w:rsidRPr="00A61847">
        <w:rPr>
          <w:i/>
          <w:strike/>
          <w:sz w:val="22"/>
          <w:szCs w:val="22"/>
          <w:highlight w:val="yellow"/>
        </w:rPr>
        <w:t xml:space="preserve">Also, Rule 62-296.405(1)(f)1., F.A.C. requires that fossil fueled steam generators with capacity factors greater than 30% must install opacity monitors.  Martin Units 1 &amp; 2 are well below the 30% capacity factor requirement.  </w:t>
      </w:r>
      <w:r w:rsidRPr="00A61847">
        <w:rPr>
          <w:i/>
          <w:iCs/>
          <w:strike/>
          <w:sz w:val="22"/>
          <w:szCs w:val="22"/>
          <w:highlight w:val="yellow"/>
        </w:rPr>
        <w:t xml:space="preserve">Lastly, </w:t>
      </w:r>
      <w:r w:rsidRPr="00A61847">
        <w:rPr>
          <w:i/>
          <w:iCs/>
          <w:sz w:val="22"/>
          <w:szCs w:val="22"/>
          <w:highlight w:val="yellow"/>
        </w:rPr>
        <w:t>t</w:t>
      </w:r>
      <w:r w:rsidRPr="00A61847">
        <w:rPr>
          <w:i/>
          <w:iCs/>
          <w:sz w:val="22"/>
          <w:szCs w:val="22"/>
          <w:highlight w:val="yellow"/>
          <w:u w:val="double"/>
        </w:rPr>
        <w:t>T</w:t>
      </w:r>
      <w:r w:rsidRPr="00A61847">
        <w:rPr>
          <w:i/>
          <w:iCs/>
          <w:sz w:val="22"/>
          <w:szCs w:val="22"/>
        </w:rPr>
        <w:t xml:space="preserve">he installation of the ESPs, initial compliance test results from each unit, and implementation of a particulate matter continuous parametric monitoring system (PM CPMS) according to the requirements specified in MATS or a Continuous Assurance Monitoring (CAM) Plan for the “natural gas-fired electric utility steam generating unit,” assures that the NSPS 40 CFR 60 Subpart D limit of 0.10 lb/MMBtu will continuously be met and the COMS exemption criteria of 40 CFR 60.45(b)(8) would be satisfied.  </w:t>
      </w:r>
      <w:r w:rsidRPr="00A61847">
        <w:rPr>
          <w:i/>
          <w:sz w:val="22"/>
          <w:szCs w:val="22"/>
        </w:rPr>
        <w:t xml:space="preserve">Therefore, </w:t>
      </w:r>
      <w:r w:rsidRPr="00A61847">
        <w:rPr>
          <w:i/>
          <w:iCs/>
          <w:sz w:val="22"/>
          <w:szCs w:val="22"/>
        </w:rPr>
        <w:t>COMS</w:t>
      </w:r>
      <w:r w:rsidRPr="00A61847">
        <w:rPr>
          <w:i/>
          <w:sz w:val="22"/>
          <w:szCs w:val="22"/>
        </w:rPr>
        <w:t xml:space="preserve"> are no longer required.  In the future if FP&amp;L Martin Unit 1 or 2 fails to meet the definition of “gas-fired” in 40 CFR 72, then FP&amp;L has one year to install and certify an opacity monitor from the end of year in which the units at Martin do not meet the definition of a “gas-fired” unit in 40 CFR 72.2 and the COMS portions of the specific conditions of this permit shall once again apply.}</w:t>
      </w:r>
    </w:p>
    <w:p w:rsidR="00410CB4" w:rsidRDefault="00410CB4" w:rsidP="00CB423F">
      <w:pPr>
        <w:pStyle w:val="ListParagraph"/>
        <w:numPr>
          <w:ilvl w:val="0"/>
          <w:numId w:val="1"/>
        </w:numPr>
        <w:tabs>
          <w:tab w:val="left" w:pos="360"/>
        </w:tabs>
        <w:spacing w:after="120"/>
        <w:contextualSpacing w:val="0"/>
        <w:rPr>
          <w:bCs/>
          <w:sz w:val="22"/>
          <w:szCs w:val="22"/>
        </w:rPr>
      </w:pPr>
      <w:r>
        <w:rPr>
          <w:bCs/>
          <w:sz w:val="22"/>
          <w:szCs w:val="22"/>
        </w:rPr>
        <w:t xml:space="preserve">Minor corrections were made to Specific Conditions </w:t>
      </w:r>
      <w:r>
        <w:rPr>
          <w:b/>
          <w:bCs/>
          <w:sz w:val="22"/>
          <w:szCs w:val="22"/>
        </w:rPr>
        <w:t>A.24</w:t>
      </w:r>
      <w:r>
        <w:rPr>
          <w:bCs/>
          <w:sz w:val="22"/>
          <w:szCs w:val="22"/>
        </w:rPr>
        <w:t xml:space="preserve">, </w:t>
      </w:r>
      <w:r>
        <w:rPr>
          <w:b/>
          <w:bCs/>
          <w:sz w:val="22"/>
          <w:szCs w:val="22"/>
        </w:rPr>
        <w:t>A.25</w:t>
      </w:r>
      <w:r>
        <w:rPr>
          <w:bCs/>
          <w:sz w:val="22"/>
          <w:szCs w:val="22"/>
        </w:rPr>
        <w:t xml:space="preserve"> and </w:t>
      </w:r>
      <w:r>
        <w:rPr>
          <w:b/>
          <w:bCs/>
          <w:sz w:val="22"/>
          <w:szCs w:val="22"/>
        </w:rPr>
        <w:t>A.26</w:t>
      </w:r>
      <w:r>
        <w:rPr>
          <w:bCs/>
          <w:sz w:val="22"/>
          <w:szCs w:val="22"/>
        </w:rPr>
        <w:t xml:space="preserve"> (formerly </w:t>
      </w:r>
      <w:r>
        <w:rPr>
          <w:b/>
          <w:bCs/>
          <w:sz w:val="22"/>
          <w:szCs w:val="22"/>
        </w:rPr>
        <w:t>A.21</w:t>
      </w:r>
      <w:r>
        <w:rPr>
          <w:bCs/>
          <w:sz w:val="22"/>
          <w:szCs w:val="22"/>
        </w:rPr>
        <w:t xml:space="preserve">, </w:t>
      </w:r>
      <w:r>
        <w:rPr>
          <w:b/>
          <w:bCs/>
          <w:sz w:val="22"/>
          <w:szCs w:val="22"/>
        </w:rPr>
        <w:t>A.22</w:t>
      </w:r>
      <w:r>
        <w:rPr>
          <w:bCs/>
          <w:sz w:val="22"/>
          <w:szCs w:val="22"/>
        </w:rPr>
        <w:t xml:space="preserve"> and </w:t>
      </w:r>
      <w:r>
        <w:rPr>
          <w:b/>
          <w:bCs/>
          <w:sz w:val="22"/>
          <w:szCs w:val="22"/>
        </w:rPr>
        <w:t>A.23</w:t>
      </w:r>
      <w:r w:rsidR="00373005">
        <w:rPr>
          <w:bCs/>
          <w:sz w:val="22"/>
          <w:szCs w:val="22"/>
        </w:rPr>
        <w:t xml:space="preserve"> of Permit No. 0850001-040-AV</w:t>
      </w:r>
      <w:r>
        <w:rPr>
          <w:bCs/>
          <w:sz w:val="22"/>
          <w:szCs w:val="22"/>
        </w:rPr>
        <w:t>) as follows:</w:t>
      </w:r>
    </w:p>
    <w:p w:rsidR="00410CB4" w:rsidRPr="00410CB4" w:rsidRDefault="00410CB4" w:rsidP="00CB423F">
      <w:pPr>
        <w:numPr>
          <w:ilvl w:val="0"/>
          <w:numId w:val="8"/>
        </w:numPr>
        <w:tabs>
          <w:tab w:val="clear" w:pos="1836"/>
          <w:tab w:val="left" w:pos="1080"/>
        </w:tabs>
        <w:spacing w:after="120"/>
        <w:ind w:left="720" w:hanging="360"/>
        <w:rPr>
          <w:bCs/>
          <w:sz w:val="24"/>
          <w:szCs w:val="22"/>
        </w:rPr>
      </w:pPr>
      <w:bookmarkStart w:id="10" w:name="_Ref519863105"/>
      <w:r w:rsidRPr="00410CB4">
        <w:rPr>
          <w:sz w:val="22"/>
          <w:szCs w:val="22"/>
          <w:u w:val="single"/>
        </w:rPr>
        <w:t>Performance Evaluation</w:t>
      </w:r>
      <w:r w:rsidRPr="00410CB4">
        <w:rPr>
          <w:sz w:val="22"/>
          <w:szCs w:val="22"/>
        </w:rPr>
        <w:t xml:space="preserve">.  If the </w:t>
      </w:r>
      <w:r w:rsidRPr="00410CB4">
        <w:rPr>
          <w:strike/>
          <w:sz w:val="22"/>
          <w:szCs w:val="22"/>
          <w:highlight w:val="yellow"/>
        </w:rPr>
        <w:t>owner or operator of an affected facility</w:t>
      </w:r>
      <w:r w:rsidRPr="00410CB4">
        <w:rPr>
          <w:sz w:val="22"/>
          <w:szCs w:val="22"/>
        </w:rPr>
        <w:t xml:space="preserve"> </w:t>
      </w:r>
      <w:r w:rsidRPr="00410CB4">
        <w:rPr>
          <w:sz w:val="22"/>
          <w:szCs w:val="22"/>
          <w:highlight w:val="yellow"/>
          <w:u w:val="double"/>
        </w:rPr>
        <w:t>permittee</w:t>
      </w:r>
      <w:r w:rsidRPr="00410CB4">
        <w:rPr>
          <w:sz w:val="22"/>
          <w:szCs w:val="22"/>
        </w:rPr>
        <w:t xml:space="preserve"> elects to use COMS data for compliance with the opacity standard as provided under </w:t>
      </w:r>
      <w:r w:rsidRPr="00410CB4">
        <w:rPr>
          <w:strike/>
          <w:sz w:val="22"/>
          <w:szCs w:val="22"/>
          <w:highlight w:val="yellow"/>
        </w:rPr>
        <w:t>40 CFR 60.11(e)(5)</w:t>
      </w:r>
      <w:r w:rsidRPr="00410CB4">
        <w:rPr>
          <w:sz w:val="22"/>
          <w:szCs w:val="22"/>
        </w:rPr>
        <w:t xml:space="preserve"> </w:t>
      </w:r>
      <w:r w:rsidRPr="00410CB4">
        <w:rPr>
          <w:sz w:val="22"/>
          <w:szCs w:val="22"/>
          <w:highlight w:val="yellow"/>
          <w:u w:val="double"/>
        </w:rPr>
        <w:t xml:space="preserve">Specific Condition </w:t>
      </w:r>
      <w:r w:rsidR="00C76A61">
        <w:rPr>
          <w:b/>
          <w:sz w:val="22"/>
          <w:szCs w:val="22"/>
          <w:highlight w:val="yellow"/>
          <w:u w:val="double"/>
        </w:rPr>
        <w:t>A.25</w:t>
      </w:r>
      <w:r w:rsidRPr="00410CB4">
        <w:rPr>
          <w:sz w:val="22"/>
          <w:szCs w:val="22"/>
        </w:rPr>
        <w:t xml:space="preserve">, </w:t>
      </w:r>
      <w:r w:rsidRPr="00410CB4">
        <w:rPr>
          <w:sz w:val="22"/>
          <w:szCs w:val="22"/>
          <w:highlight w:val="yellow"/>
          <w:u w:val="double"/>
        </w:rPr>
        <w:t>t</w:t>
      </w:r>
      <w:r w:rsidRPr="00410CB4">
        <w:rPr>
          <w:sz w:val="22"/>
          <w:szCs w:val="22"/>
        </w:rPr>
        <w:t xml:space="preserve">he </w:t>
      </w:r>
      <w:r w:rsidRPr="00410CB4">
        <w:rPr>
          <w:sz w:val="22"/>
          <w:szCs w:val="22"/>
          <w:highlight w:val="yellow"/>
          <w:u w:val="double"/>
        </w:rPr>
        <w:t>permittee</w:t>
      </w:r>
      <w:r w:rsidRPr="00410CB4">
        <w:rPr>
          <w:sz w:val="22"/>
          <w:szCs w:val="22"/>
        </w:rPr>
        <w:t xml:space="preserve"> shall conduct a performance evaluation of the COMS as specified in Performance Specification 1, Appendix B, of 40 CFR 60 before the performance test required under 40 CFR 60.8 is conducted.  Otherwise, </w:t>
      </w:r>
      <w:r w:rsidRPr="00410CB4">
        <w:rPr>
          <w:strike/>
          <w:sz w:val="22"/>
          <w:szCs w:val="22"/>
          <w:highlight w:val="yellow"/>
        </w:rPr>
        <w:t>owner or operator of an affected facility</w:t>
      </w:r>
      <w:r w:rsidRPr="00410CB4">
        <w:rPr>
          <w:sz w:val="22"/>
          <w:szCs w:val="22"/>
        </w:rPr>
        <w:t xml:space="preserve"> </w:t>
      </w:r>
      <w:r w:rsidRPr="00410CB4">
        <w:rPr>
          <w:sz w:val="22"/>
          <w:szCs w:val="22"/>
          <w:highlight w:val="yellow"/>
          <w:u w:val="double"/>
        </w:rPr>
        <w:t>permittee</w:t>
      </w:r>
      <w:r w:rsidRPr="00410CB4">
        <w:rPr>
          <w:sz w:val="22"/>
          <w:szCs w:val="22"/>
        </w:rPr>
        <w:t xml:space="preserve"> shall conduct a performance evaluation of the COMS or CEMS during any performance test required under 40 CFR 60.8 or within 30 days thereafter in accordance with the applicable performance specification in Appendix B of 40 CFR 60.  The owner or operator of an affected facility shall conduct COMS or CEMS performance evaluations at such other times as may be required by the </w:t>
      </w:r>
      <w:r w:rsidRPr="00410CB4">
        <w:rPr>
          <w:strike/>
          <w:sz w:val="22"/>
          <w:szCs w:val="22"/>
          <w:highlight w:val="yellow"/>
        </w:rPr>
        <w:t>Administrator</w:t>
      </w:r>
      <w:r w:rsidRPr="00410CB4">
        <w:rPr>
          <w:sz w:val="22"/>
          <w:szCs w:val="22"/>
        </w:rPr>
        <w:t xml:space="preserve"> </w:t>
      </w:r>
      <w:r w:rsidRPr="00410CB4">
        <w:rPr>
          <w:sz w:val="22"/>
          <w:szCs w:val="22"/>
          <w:highlight w:val="yellow"/>
          <w:u w:val="double"/>
        </w:rPr>
        <w:t>Department</w:t>
      </w:r>
      <w:r w:rsidRPr="00410CB4">
        <w:rPr>
          <w:sz w:val="22"/>
          <w:szCs w:val="22"/>
        </w:rPr>
        <w:t xml:space="preserve"> under section 114 of the Act.  [40 CFR 60.13(c)]</w:t>
      </w:r>
      <w:bookmarkEnd w:id="10"/>
    </w:p>
    <w:p w:rsidR="00410CB4" w:rsidRPr="00410CB4" w:rsidRDefault="00410CB4" w:rsidP="00CB423F">
      <w:pPr>
        <w:numPr>
          <w:ilvl w:val="0"/>
          <w:numId w:val="8"/>
        </w:numPr>
        <w:tabs>
          <w:tab w:val="clear" w:pos="1836"/>
          <w:tab w:val="left" w:pos="1080"/>
        </w:tabs>
        <w:spacing w:after="120"/>
        <w:ind w:left="720" w:hanging="360"/>
        <w:rPr>
          <w:bCs/>
          <w:sz w:val="22"/>
          <w:szCs w:val="22"/>
        </w:rPr>
      </w:pPr>
      <w:r w:rsidRPr="00410CB4">
        <w:rPr>
          <w:sz w:val="22"/>
          <w:szCs w:val="22"/>
          <w:u w:val="single"/>
        </w:rPr>
        <w:t>COMS Data for Compliance</w:t>
      </w:r>
      <w:r w:rsidRPr="00410CB4">
        <w:rPr>
          <w:sz w:val="22"/>
          <w:szCs w:val="22"/>
        </w:rPr>
        <w:t xml:space="preserve">.  The owner or operator of an affected facility subject to an opacity standard may submit, for compliance purposes COMS data results produced during any performance test required under 40 CFR 60.8 in lieu of Method 9 observation data.  If </w:t>
      </w:r>
      <w:r w:rsidRPr="00410CB4">
        <w:rPr>
          <w:strike/>
          <w:sz w:val="22"/>
          <w:szCs w:val="22"/>
          <w:highlight w:val="yellow"/>
        </w:rPr>
        <w:t>an owner or operator</w:t>
      </w:r>
      <w:r w:rsidRPr="00410CB4">
        <w:rPr>
          <w:sz w:val="22"/>
          <w:szCs w:val="22"/>
        </w:rPr>
        <w:t xml:space="preserve"> </w:t>
      </w:r>
      <w:r w:rsidRPr="00410CB4">
        <w:rPr>
          <w:sz w:val="22"/>
          <w:szCs w:val="22"/>
          <w:highlight w:val="yellow"/>
          <w:u w:val="double"/>
        </w:rPr>
        <w:t>the permittee</w:t>
      </w:r>
      <w:r w:rsidRPr="00410CB4">
        <w:rPr>
          <w:sz w:val="22"/>
          <w:szCs w:val="22"/>
        </w:rPr>
        <w:t xml:space="preserve"> elects to submit COMS data for compliance with the opacity standard, he shall notify the </w:t>
      </w:r>
      <w:r w:rsidRPr="00410CB4">
        <w:rPr>
          <w:strike/>
          <w:sz w:val="22"/>
          <w:szCs w:val="22"/>
          <w:highlight w:val="yellow"/>
        </w:rPr>
        <w:t>Administrator</w:t>
      </w:r>
      <w:r w:rsidRPr="00410CB4">
        <w:rPr>
          <w:sz w:val="22"/>
          <w:szCs w:val="22"/>
        </w:rPr>
        <w:t xml:space="preserve"> </w:t>
      </w:r>
      <w:r w:rsidRPr="00410CB4">
        <w:rPr>
          <w:sz w:val="22"/>
          <w:szCs w:val="22"/>
          <w:highlight w:val="yellow"/>
          <w:u w:val="double"/>
        </w:rPr>
        <w:t>Department</w:t>
      </w:r>
      <w:r w:rsidRPr="00410CB4">
        <w:rPr>
          <w:sz w:val="22"/>
          <w:szCs w:val="22"/>
        </w:rPr>
        <w:t xml:space="preserve"> of that decision, in writing, at least 30 days before any performance test required under 40 CFR 60.8 is conducted.  Once the owner or operator of an affected facility has notified the </w:t>
      </w:r>
      <w:r w:rsidRPr="00410CB4">
        <w:rPr>
          <w:strike/>
          <w:sz w:val="22"/>
          <w:szCs w:val="22"/>
          <w:highlight w:val="yellow"/>
        </w:rPr>
        <w:t>Administrator</w:t>
      </w:r>
      <w:r w:rsidRPr="00410CB4">
        <w:rPr>
          <w:sz w:val="22"/>
          <w:szCs w:val="22"/>
        </w:rPr>
        <w:t xml:space="preserve"> </w:t>
      </w:r>
      <w:r w:rsidRPr="00410CB4">
        <w:rPr>
          <w:sz w:val="22"/>
          <w:szCs w:val="22"/>
          <w:highlight w:val="yellow"/>
          <w:u w:val="double"/>
        </w:rPr>
        <w:t>Department</w:t>
      </w:r>
      <w:r w:rsidRPr="00410CB4">
        <w:rPr>
          <w:sz w:val="22"/>
          <w:szCs w:val="22"/>
        </w:rPr>
        <w:t xml:space="preserve"> to that effect, the COMS data results will be used to determine opacity compliance during subsequent tests required under 40 CFR 60.8 until the owner or operator notifies the </w:t>
      </w:r>
      <w:r w:rsidRPr="00410CB4">
        <w:rPr>
          <w:strike/>
          <w:sz w:val="22"/>
          <w:szCs w:val="22"/>
          <w:highlight w:val="yellow"/>
        </w:rPr>
        <w:t>Administrator</w:t>
      </w:r>
      <w:r w:rsidRPr="00410CB4">
        <w:rPr>
          <w:sz w:val="22"/>
          <w:szCs w:val="22"/>
        </w:rPr>
        <w:t xml:space="preserve"> </w:t>
      </w:r>
      <w:r w:rsidRPr="00410CB4">
        <w:rPr>
          <w:sz w:val="22"/>
          <w:szCs w:val="22"/>
          <w:highlight w:val="yellow"/>
          <w:u w:val="double"/>
        </w:rPr>
        <w:t>Department</w:t>
      </w:r>
      <w:r w:rsidRPr="00410CB4">
        <w:rPr>
          <w:sz w:val="22"/>
          <w:szCs w:val="22"/>
        </w:rPr>
        <w:t xml:space="preserve">, in writing, to the contrary.  For the purpose of determining compliance with the opacity standard during a performance test required under 40 CFR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40 CFR 60.13(c),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w:t>
      </w:r>
      <w:r w:rsidRPr="00410CB4">
        <w:rPr>
          <w:strike/>
          <w:sz w:val="22"/>
          <w:szCs w:val="22"/>
          <w:highlight w:val="yellow"/>
        </w:rPr>
        <w:t>opacity</w:t>
      </w:r>
      <w:r w:rsidRPr="00410CB4">
        <w:rPr>
          <w:sz w:val="22"/>
          <w:szCs w:val="22"/>
        </w:rPr>
        <w:t xml:space="preserve"> compliance </w:t>
      </w:r>
      <w:r w:rsidRPr="00410CB4">
        <w:rPr>
          <w:sz w:val="22"/>
          <w:szCs w:val="22"/>
          <w:highlight w:val="yellow"/>
          <w:u w:val="double"/>
        </w:rPr>
        <w:t>with the opacity standard</w:t>
      </w:r>
      <w:r w:rsidRPr="00410CB4">
        <w:rPr>
          <w:sz w:val="22"/>
          <w:szCs w:val="22"/>
        </w:rPr>
        <w:t>.  [40 CFR 60.11(e)(5)]</w:t>
      </w:r>
    </w:p>
    <w:p w:rsidR="00410CB4" w:rsidRPr="00410CB4" w:rsidRDefault="00410CB4" w:rsidP="00CB423F">
      <w:pPr>
        <w:numPr>
          <w:ilvl w:val="0"/>
          <w:numId w:val="8"/>
        </w:numPr>
        <w:tabs>
          <w:tab w:val="clear" w:pos="1836"/>
          <w:tab w:val="left" w:pos="1080"/>
        </w:tabs>
        <w:ind w:left="720" w:hanging="360"/>
        <w:rPr>
          <w:bCs/>
          <w:sz w:val="22"/>
          <w:szCs w:val="22"/>
        </w:rPr>
      </w:pPr>
      <w:bookmarkStart w:id="11" w:name="_Ref519863475"/>
      <w:r w:rsidRPr="00410CB4">
        <w:rPr>
          <w:sz w:val="22"/>
          <w:szCs w:val="22"/>
          <w:u w:val="single"/>
        </w:rPr>
        <w:t>CEMS Procedures</w:t>
      </w:r>
      <w:r w:rsidRPr="00410CB4">
        <w:rPr>
          <w:sz w:val="22"/>
          <w:szCs w:val="22"/>
        </w:rPr>
        <w:t>.</w:t>
      </w:r>
      <w:bookmarkEnd w:id="11"/>
    </w:p>
    <w:p w:rsidR="00410CB4" w:rsidRPr="00410CB4" w:rsidRDefault="00410CB4" w:rsidP="00CB423F">
      <w:pPr>
        <w:pStyle w:val="ListParagraph"/>
        <w:numPr>
          <w:ilvl w:val="0"/>
          <w:numId w:val="9"/>
        </w:numPr>
        <w:tabs>
          <w:tab w:val="left" w:pos="1080"/>
        </w:tabs>
        <w:spacing w:after="120"/>
        <w:ind w:left="1080"/>
        <w:rPr>
          <w:bCs/>
          <w:sz w:val="22"/>
          <w:szCs w:val="22"/>
        </w:rPr>
      </w:pPr>
      <w:r w:rsidRPr="00410CB4">
        <w:rPr>
          <w:sz w:val="22"/>
          <w:szCs w:val="22"/>
        </w:rPr>
        <w:t xml:space="preserve">Owners and operators of all CEMS installed in accordance with the provisions of </w:t>
      </w:r>
      <w:r w:rsidRPr="00410CB4">
        <w:rPr>
          <w:strike/>
          <w:sz w:val="22"/>
          <w:szCs w:val="22"/>
          <w:highlight w:val="yellow"/>
        </w:rPr>
        <w:t>this p</w:t>
      </w:r>
      <w:r w:rsidRPr="00410CB4">
        <w:rPr>
          <w:sz w:val="22"/>
          <w:szCs w:val="22"/>
          <w:highlight w:val="yellow"/>
          <w:u w:val="double"/>
        </w:rPr>
        <w:t>P</w:t>
      </w:r>
      <w:r w:rsidRPr="00410CB4">
        <w:rPr>
          <w:sz w:val="22"/>
          <w:szCs w:val="22"/>
        </w:rPr>
        <w:t xml:space="preserve">art </w:t>
      </w:r>
      <w:r w:rsidRPr="00410CB4">
        <w:rPr>
          <w:sz w:val="22"/>
          <w:szCs w:val="22"/>
          <w:highlight w:val="yellow"/>
          <w:u w:val="double"/>
        </w:rPr>
        <w:t>60</w:t>
      </w:r>
      <w:r w:rsidRPr="00410CB4">
        <w:rPr>
          <w:sz w:val="22"/>
          <w:szCs w:val="22"/>
        </w:rPr>
        <w:t xml:space="preserve"> shall check the zero (or low-level value between 0 and 20% of span value) and span (50 to 100% of span value) calibration drifts at least once daily in accordance with a written procedure.  The zero and span shall, as a minimum, be adjusted whenever the 24-hour zero drift or 24-hour span drift exceeds two times the limits of the applicable performance specifications in Appendix B.  The system must allow the amount of excess zero and span drift measured at the 24-hour interval checks to be recorded and quantified, whenever specified.  For continuous monitoring systems measuring opacity of emissions, the optical surfaces exposed to the effluent gases shall be cleaned prior to performing the zero and span drift adjustments except that for systems using automatic zero adjustments.  The optical surfaces shall be cleaned when the cumulative automatic zero compensation exceeds 4% opacity.</w:t>
      </w:r>
    </w:p>
    <w:p w:rsidR="00410CB4" w:rsidRPr="00410CB4" w:rsidRDefault="00410CB4" w:rsidP="00CB423F">
      <w:pPr>
        <w:pStyle w:val="ListParagraph"/>
        <w:numPr>
          <w:ilvl w:val="0"/>
          <w:numId w:val="9"/>
        </w:numPr>
        <w:tabs>
          <w:tab w:val="left" w:pos="1080"/>
        </w:tabs>
        <w:spacing w:after="120"/>
        <w:ind w:left="1080"/>
        <w:rPr>
          <w:bCs/>
          <w:sz w:val="22"/>
          <w:szCs w:val="22"/>
        </w:rPr>
      </w:pPr>
      <w:r w:rsidRPr="00410CB4">
        <w:rPr>
          <w:sz w:val="22"/>
          <w:szCs w:val="22"/>
        </w:rPr>
        <w:t xml:space="preserve">Unless otherwise approved by the </w:t>
      </w:r>
      <w:r w:rsidRPr="00410CB4">
        <w:rPr>
          <w:strike/>
          <w:sz w:val="22"/>
          <w:szCs w:val="22"/>
          <w:highlight w:val="yellow"/>
        </w:rPr>
        <w:t>Administrator</w:t>
      </w:r>
      <w:r w:rsidRPr="00410CB4">
        <w:rPr>
          <w:sz w:val="22"/>
          <w:szCs w:val="22"/>
        </w:rPr>
        <w:t xml:space="preserve"> </w:t>
      </w:r>
      <w:r w:rsidRPr="00410CB4">
        <w:rPr>
          <w:sz w:val="22"/>
          <w:szCs w:val="22"/>
          <w:highlight w:val="yellow"/>
          <w:u w:val="double"/>
        </w:rPr>
        <w:t>Department</w:t>
      </w:r>
      <w:r w:rsidRPr="00410CB4">
        <w:rPr>
          <w:sz w:val="22"/>
          <w:szCs w:val="22"/>
        </w:rPr>
        <w:t>, the following procedures shall be followed for continuous monitoring systems measuring opacity of emissions.  Minimum procedures shall include a method for producing a simulated zero opacity condition and an upscale (span) opacity condition using a certified neutral density filter or other related technique to produce a known obscuration of the light beam.  Such procedures shall provide a system check of the analyzer internal optical surfaces and all electronic circuitry including the lamp and photo detector assembly.</w:t>
      </w:r>
    </w:p>
    <w:p w:rsidR="00410CB4" w:rsidRDefault="00410CB4" w:rsidP="00373005">
      <w:pPr>
        <w:pStyle w:val="ListParagraph"/>
        <w:tabs>
          <w:tab w:val="left" w:pos="1080"/>
        </w:tabs>
        <w:spacing w:after="120"/>
        <w:contextualSpacing w:val="0"/>
        <w:rPr>
          <w:sz w:val="22"/>
          <w:szCs w:val="22"/>
        </w:rPr>
      </w:pPr>
      <w:r w:rsidRPr="00410CB4">
        <w:rPr>
          <w:sz w:val="22"/>
          <w:szCs w:val="22"/>
        </w:rPr>
        <w:t>[40 CFR 60.13(d)</w:t>
      </w:r>
      <w:r w:rsidRPr="00410CB4">
        <w:rPr>
          <w:strike/>
          <w:sz w:val="22"/>
          <w:szCs w:val="22"/>
          <w:highlight w:val="yellow"/>
        </w:rPr>
        <w:t>(1) and (2)</w:t>
      </w:r>
      <w:r w:rsidRPr="00410CB4">
        <w:rPr>
          <w:sz w:val="22"/>
          <w:szCs w:val="22"/>
        </w:rPr>
        <w:t>]</w:t>
      </w:r>
    </w:p>
    <w:p w:rsidR="00373005" w:rsidRDefault="00373005" w:rsidP="00CB423F">
      <w:pPr>
        <w:pStyle w:val="ListParagraph"/>
        <w:numPr>
          <w:ilvl w:val="0"/>
          <w:numId w:val="1"/>
        </w:numPr>
        <w:tabs>
          <w:tab w:val="left" w:pos="360"/>
        </w:tabs>
        <w:spacing w:after="120"/>
        <w:contextualSpacing w:val="0"/>
        <w:rPr>
          <w:bCs/>
          <w:sz w:val="22"/>
          <w:szCs w:val="22"/>
        </w:rPr>
      </w:pPr>
      <w:r>
        <w:rPr>
          <w:bCs/>
          <w:sz w:val="22"/>
          <w:szCs w:val="22"/>
        </w:rPr>
        <w:t xml:space="preserve">Specific Condition </w:t>
      </w:r>
      <w:r>
        <w:rPr>
          <w:b/>
          <w:bCs/>
          <w:sz w:val="22"/>
          <w:szCs w:val="22"/>
        </w:rPr>
        <w:t>A.31</w:t>
      </w:r>
      <w:r>
        <w:rPr>
          <w:bCs/>
          <w:sz w:val="22"/>
          <w:szCs w:val="22"/>
        </w:rPr>
        <w:t xml:space="preserve"> (formerly </w:t>
      </w:r>
      <w:r>
        <w:rPr>
          <w:b/>
          <w:bCs/>
          <w:sz w:val="22"/>
          <w:szCs w:val="22"/>
        </w:rPr>
        <w:t>A.28</w:t>
      </w:r>
      <w:r>
        <w:rPr>
          <w:bCs/>
          <w:sz w:val="22"/>
          <w:szCs w:val="22"/>
        </w:rPr>
        <w:t xml:space="preserve"> of Permit No. 0850001-040-AV) has been revised to reflect minor corrections and the removal of nonapplicable requirements.  The revisions appear as follows:</w:t>
      </w:r>
    </w:p>
    <w:p w:rsidR="00373005" w:rsidRPr="00373005" w:rsidRDefault="00373005" w:rsidP="00CB423F">
      <w:pPr>
        <w:pStyle w:val="ListParagraph"/>
        <w:numPr>
          <w:ilvl w:val="0"/>
          <w:numId w:val="10"/>
        </w:numPr>
        <w:tabs>
          <w:tab w:val="left" w:pos="1080"/>
        </w:tabs>
        <w:ind w:left="720"/>
        <w:contextualSpacing w:val="0"/>
        <w:rPr>
          <w:bCs/>
          <w:sz w:val="22"/>
          <w:szCs w:val="22"/>
        </w:rPr>
      </w:pPr>
      <w:r w:rsidRPr="00373005">
        <w:rPr>
          <w:sz w:val="22"/>
          <w:szCs w:val="22"/>
          <w:u w:val="single"/>
        </w:rPr>
        <w:t>Performance Evaluations and Calibration Checks</w:t>
      </w:r>
      <w:r w:rsidRPr="00373005">
        <w:rPr>
          <w:sz w:val="22"/>
          <w:szCs w:val="22"/>
        </w:rPr>
        <w:t xml:space="preserve">.  For performance evaluations under </w:t>
      </w:r>
      <w:r w:rsidRPr="00373005">
        <w:rPr>
          <w:strike/>
          <w:sz w:val="22"/>
          <w:szCs w:val="22"/>
          <w:highlight w:val="yellow"/>
        </w:rPr>
        <w:t>40 CFR 60.13(c)</w:t>
      </w:r>
      <w:r w:rsidRPr="00373005">
        <w:rPr>
          <w:sz w:val="22"/>
          <w:szCs w:val="22"/>
        </w:rPr>
        <w:t xml:space="preserve"> </w:t>
      </w:r>
      <w:r w:rsidRPr="00373005">
        <w:rPr>
          <w:sz w:val="22"/>
          <w:szCs w:val="22"/>
          <w:highlight w:val="yellow"/>
          <w:u w:val="double"/>
        </w:rPr>
        <w:t xml:space="preserve">Specific Condition </w:t>
      </w:r>
      <w:r>
        <w:rPr>
          <w:b/>
          <w:sz w:val="22"/>
          <w:szCs w:val="22"/>
          <w:highlight w:val="yellow"/>
          <w:u w:val="double"/>
        </w:rPr>
        <w:t>A.24</w:t>
      </w:r>
      <w:r w:rsidRPr="00373005">
        <w:rPr>
          <w:sz w:val="22"/>
          <w:szCs w:val="22"/>
        </w:rPr>
        <w:t xml:space="preserve"> and calibration checks under </w:t>
      </w:r>
      <w:r w:rsidRPr="00373005">
        <w:rPr>
          <w:strike/>
          <w:sz w:val="22"/>
          <w:szCs w:val="22"/>
          <w:highlight w:val="yellow"/>
        </w:rPr>
        <w:t>40 CFR 60.13(d)</w:t>
      </w:r>
      <w:r w:rsidRPr="00373005">
        <w:rPr>
          <w:sz w:val="22"/>
          <w:szCs w:val="22"/>
        </w:rPr>
        <w:t xml:space="preserve"> </w:t>
      </w:r>
      <w:r w:rsidRPr="00373005">
        <w:rPr>
          <w:sz w:val="22"/>
          <w:szCs w:val="22"/>
          <w:highlight w:val="yellow"/>
          <w:u w:val="double"/>
        </w:rPr>
        <w:t xml:space="preserve">Specific Condition </w:t>
      </w:r>
      <w:r>
        <w:rPr>
          <w:b/>
          <w:sz w:val="22"/>
          <w:szCs w:val="22"/>
          <w:highlight w:val="yellow"/>
          <w:u w:val="double"/>
        </w:rPr>
        <w:t>A.26</w:t>
      </w:r>
      <w:r w:rsidRPr="00373005">
        <w:rPr>
          <w:sz w:val="22"/>
          <w:szCs w:val="22"/>
        </w:rPr>
        <w:t>, the following procedures shall be used:</w:t>
      </w:r>
    </w:p>
    <w:p w:rsidR="00373005" w:rsidRPr="00F93D64" w:rsidRDefault="00F93D64" w:rsidP="00CB423F">
      <w:pPr>
        <w:pStyle w:val="ListParagraph"/>
        <w:numPr>
          <w:ilvl w:val="0"/>
          <w:numId w:val="11"/>
        </w:numPr>
        <w:tabs>
          <w:tab w:val="left" w:pos="1080"/>
        </w:tabs>
        <w:contextualSpacing w:val="0"/>
        <w:rPr>
          <w:bCs/>
          <w:sz w:val="22"/>
          <w:szCs w:val="22"/>
        </w:rPr>
      </w:pPr>
      <w:r w:rsidRPr="00F93D64">
        <w:rPr>
          <w:sz w:val="22"/>
          <w:szCs w:val="22"/>
        </w:rPr>
        <w:t>Methods 6, 7, and 3B, as applicable, shall be used for the performance evaluations of sulfur dioxide and nitrogen oxides continuous monitoring systems.  Acceptable alternative methods for Methods 6, 7, and 3B are given in 40 CFR 60.46(d).</w:t>
      </w:r>
    </w:p>
    <w:p w:rsidR="00F93D64" w:rsidRPr="00F93D64" w:rsidRDefault="00F93D64" w:rsidP="00CB423F">
      <w:pPr>
        <w:pStyle w:val="ListParagraph"/>
        <w:numPr>
          <w:ilvl w:val="0"/>
          <w:numId w:val="11"/>
        </w:numPr>
        <w:tabs>
          <w:tab w:val="left" w:pos="1080"/>
        </w:tabs>
        <w:contextualSpacing w:val="0"/>
        <w:rPr>
          <w:bCs/>
          <w:sz w:val="22"/>
          <w:szCs w:val="22"/>
        </w:rPr>
      </w:pPr>
      <w:r w:rsidRPr="00F93D64">
        <w:rPr>
          <w:sz w:val="22"/>
          <w:szCs w:val="22"/>
        </w:rPr>
        <w:t>SO</w:t>
      </w:r>
      <w:r w:rsidRPr="00F93D64">
        <w:rPr>
          <w:sz w:val="22"/>
          <w:szCs w:val="22"/>
          <w:vertAlign w:val="subscript"/>
        </w:rPr>
        <w:t>2</w:t>
      </w:r>
      <w:r w:rsidRPr="00F93D64">
        <w:rPr>
          <w:sz w:val="22"/>
          <w:szCs w:val="22"/>
        </w:rPr>
        <w:t xml:space="preserve"> or NO</w:t>
      </w:r>
      <w:r w:rsidRPr="00F93D64">
        <w:rPr>
          <w:sz w:val="22"/>
          <w:szCs w:val="22"/>
          <w:vertAlign w:val="subscript"/>
        </w:rPr>
        <w:t>X</w:t>
      </w:r>
      <w:r w:rsidRPr="00F93D64">
        <w:rPr>
          <w:sz w:val="22"/>
          <w:szCs w:val="22"/>
        </w:rPr>
        <w:t>, as applicable, shall be used for preparing calibration gas mixtures under Performance Specification 2 of Appendix B to 40 CFR 60.</w:t>
      </w:r>
    </w:p>
    <w:p w:rsidR="00F93D64" w:rsidRPr="00F93D64" w:rsidRDefault="00F93D64" w:rsidP="00CB423F">
      <w:pPr>
        <w:pStyle w:val="ListParagraph"/>
        <w:numPr>
          <w:ilvl w:val="0"/>
          <w:numId w:val="11"/>
        </w:numPr>
        <w:tabs>
          <w:tab w:val="left" w:pos="1080"/>
        </w:tabs>
        <w:contextualSpacing w:val="0"/>
        <w:rPr>
          <w:bCs/>
          <w:sz w:val="22"/>
          <w:szCs w:val="22"/>
        </w:rPr>
      </w:pPr>
      <w:r w:rsidRPr="00F93D64">
        <w:rPr>
          <w:sz w:val="22"/>
          <w:szCs w:val="22"/>
        </w:rPr>
        <w:t>For affected facilities burning fossil fuel(s), the span value for a continuous monitoring system measuring the opacity of emissions shall be 80, 90, or 100% and for a continuous monitoring system measuring sulfur oxides or nitrogen oxides the span value shall be determined using one of the following procedures:</w:t>
      </w:r>
    </w:p>
    <w:p w:rsidR="00F93D64" w:rsidRPr="00F93D64" w:rsidRDefault="00F93D64" w:rsidP="00CB423F">
      <w:pPr>
        <w:pStyle w:val="ListParagraph"/>
        <w:numPr>
          <w:ilvl w:val="0"/>
          <w:numId w:val="12"/>
        </w:numPr>
        <w:spacing w:after="60"/>
        <w:ind w:left="1440"/>
        <w:contextualSpacing w:val="0"/>
        <w:rPr>
          <w:sz w:val="22"/>
          <w:szCs w:val="22"/>
        </w:rPr>
      </w:pPr>
      <w:bookmarkStart w:id="12" w:name="_Ref519865220"/>
      <w:r w:rsidRPr="00F93D64">
        <w:rPr>
          <w:sz w:val="22"/>
          <w:szCs w:val="22"/>
        </w:rPr>
        <w:t>Except as provided under paragraph c.(2), SO</w:t>
      </w:r>
      <w:r w:rsidRPr="00F93D64">
        <w:rPr>
          <w:sz w:val="22"/>
          <w:szCs w:val="22"/>
          <w:vertAlign w:val="subscript"/>
        </w:rPr>
        <w:t>2</w:t>
      </w:r>
      <w:r w:rsidRPr="00F93D64">
        <w:rPr>
          <w:sz w:val="22"/>
          <w:szCs w:val="22"/>
        </w:rPr>
        <w:t xml:space="preserve"> and NO</w:t>
      </w:r>
      <w:r w:rsidRPr="00F93D64">
        <w:rPr>
          <w:sz w:val="22"/>
          <w:szCs w:val="22"/>
          <w:vertAlign w:val="subscript"/>
        </w:rPr>
        <w:t>X</w:t>
      </w:r>
      <w:r w:rsidRPr="00F93D64">
        <w:rPr>
          <w:sz w:val="22"/>
          <w:szCs w:val="22"/>
        </w:rPr>
        <w:t xml:space="preserve"> span value shall be determined as follows:</w:t>
      </w:r>
      <w:bookmarkEnd w:id="12"/>
    </w:p>
    <w:tbl>
      <w:tblPr>
        <w:tblStyle w:val="TableGrid"/>
        <w:tblW w:w="8970" w:type="dxa"/>
        <w:tblInd w:w="142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3028"/>
        <w:gridCol w:w="2979"/>
        <w:gridCol w:w="2963"/>
      </w:tblGrid>
      <w:tr w:rsidR="00F93D64" w:rsidRPr="00F93D64" w:rsidTr="00F93D64">
        <w:tc>
          <w:tcPr>
            <w:tcW w:w="3028" w:type="dxa"/>
            <w:tcBorders>
              <w:top w:val="single" w:sz="12" w:space="0" w:color="auto"/>
              <w:bottom w:val="single" w:sz="12" w:space="0" w:color="auto"/>
            </w:tcBorders>
          </w:tcPr>
          <w:p w:rsidR="00F93D64" w:rsidRPr="00F93D64" w:rsidRDefault="00F93D64" w:rsidP="00C73FF4">
            <w:pPr>
              <w:pStyle w:val="ListParagraph"/>
              <w:ind w:left="0"/>
              <w:jc w:val="center"/>
              <w:rPr>
                <w:b/>
                <w:sz w:val="22"/>
                <w:szCs w:val="22"/>
              </w:rPr>
            </w:pPr>
            <w:r w:rsidRPr="00F93D64">
              <w:rPr>
                <w:b/>
                <w:sz w:val="22"/>
                <w:szCs w:val="22"/>
              </w:rPr>
              <w:t>Fossil Fuel</w:t>
            </w:r>
          </w:p>
        </w:tc>
        <w:tc>
          <w:tcPr>
            <w:tcW w:w="2979" w:type="dxa"/>
            <w:tcBorders>
              <w:top w:val="single" w:sz="12" w:space="0" w:color="auto"/>
              <w:bottom w:val="single" w:sz="12" w:space="0" w:color="auto"/>
            </w:tcBorders>
          </w:tcPr>
          <w:p w:rsidR="00F93D64" w:rsidRPr="00F93D64" w:rsidRDefault="00F93D64" w:rsidP="00C73FF4">
            <w:pPr>
              <w:pStyle w:val="ListParagraph"/>
              <w:ind w:left="0"/>
              <w:jc w:val="center"/>
              <w:rPr>
                <w:b/>
                <w:sz w:val="22"/>
                <w:szCs w:val="22"/>
              </w:rPr>
            </w:pPr>
            <w:r w:rsidRPr="00F93D64">
              <w:rPr>
                <w:b/>
                <w:sz w:val="22"/>
                <w:szCs w:val="22"/>
              </w:rPr>
              <w:t xml:space="preserve">Span value for </w:t>
            </w:r>
            <w:r w:rsidRPr="00F93D64">
              <w:rPr>
                <w:b/>
                <w:strike/>
                <w:sz w:val="22"/>
                <w:szCs w:val="22"/>
                <w:highlight w:val="yellow"/>
              </w:rPr>
              <w:t>sulfur dioxide</w:t>
            </w:r>
            <w:r w:rsidRPr="00F93D64">
              <w:rPr>
                <w:b/>
                <w:sz w:val="22"/>
                <w:szCs w:val="22"/>
              </w:rPr>
              <w:t xml:space="preserve"> </w:t>
            </w:r>
            <w:r w:rsidRPr="00F93D64">
              <w:rPr>
                <w:b/>
                <w:sz w:val="22"/>
                <w:szCs w:val="22"/>
                <w:highlight w:val="yellow"/>
                <w:u w:val="double"/>
              </w:rPr>
              <w:t>SO</w:t>
            </w:r>
            <w:r w:rsidRPr="00F93D64">
              <w:rPr>
                <w:b/>
                <w:sz w:val="22"/>
                <w:szCs w:val="22"/>
                <w:highlight w:val="yellow"/>
                <w:u w:val="double"/>
                <w:vertAlign w:val="subscript"/>
              </w:rPr>
              <w:t>2</w:t>
            </w:r>
            <w:r w:rsidRPr="00F93D64">
              <w:rPr>
                <w:b/>
                <w:sz w:val="22"/>
                <w:szCs w:val="22"/>
              </w:rPr>
              <w:t xml:space="preserve"> (ppm)</w:t>
            </w:r>
          </w:p>
        </w:tc>
        <w:tc>
          <w:tcPr>
            <w:tcW w:w="2963" w:type="dxa"/>
            <w:tcBorders>
              <w:top w:val="single" w:sz="12" w:space="0" w:color="auto"/>
              <w:bottom w:val="single" w:sz="12" w:space="0" w:color="auto"/>
            </w:tcBorders>
          </w:tcPr>
          <w:p w:rsidR="00F93D64" w:rsidRPr="00F93D64" w:rsidRDefault="00F93D64" w:rsidP="00C73FF4">
            <w:pPr>
              <w:pStyle w:val="ListParagraph"/>
              <w:ind w:left="0"/>
              <w:jc w:val="center"/>
              <w:rPr>
                <w:b/>
                <w:sz w:val="22"/>
                <w:szCs w:val="22"/>
              </w:rPr>
            </w:pPr>
            <w:r w:rsidRPr="00F93D64">
              <w:rPr>
                <w:b/>
                <w:sz w:val="22"/>
                <w:szCs w:val="22"/>
              </w:rPr>
              <w:t xml:space="preserve">Span value for </w:t>
            </w:r>
            <w:r w:rsidRPr="00F93D64">
              <w:rPr>
                <w:b/>
                <w:strike/>
                <w:sz w:val="22"/>
                <w:szCs w:val="22"/>
                <w:highlight w:val="yellow"/>
              </w:rPr>
              <w:t>nitrogen oxides</w:t>
            </w:r>
            <w:r w:rsidRPr="00F93D64">
              <w:rPr>
                <w:b/>
                <w:sz w:val="22"/>
                <w:szCs w:val="22"/>
              </w:rPr>
              <w:t xml:space="preserve"> </w:t>
            </w:r>
            <w:r w:rsidRPr="00F93D64">
              <w:rPr>
                <w:b/>
                <w:sz w:val="22"/>
                <w:szCs w:val="22"/>
                <w:highlight w:val="yellow"/>
                <w:u w:val="double"/>
              </w:rPr>
              <w:t>NO</w:t>
            </w:r>
            <w:r w:rsidRPr="00F93D64">
              <w:rPr>
                <w:b/>
                <w:sz w:val="22"/>
                <w:szCs w:val="22"/>
                <w:highlight w:val="yellow"/>
                <w:u w:val="double"/>
                <w:vertAlign w:val="subscript"/>
              </w:rPr>
              <w:t>X</w:t>
            </w:r>
            <w:r w:rsidRPr="00F93D64">
              <w:rPr>
                <w:b/>
                <w:sz w:val="22"/>
                <w:szCs w:val="22"/>
              </w:rPr>
              <w:t xml:space="preserve"> (ppm)</w:t>
            </w:r>
          </w:p>
        </w:tc>
      </w:tr>
      <w:tr w:rsidR="00F93D64" w:rsidRPr="00F93D64" w:rsidTr="00F93D64">
        <w:tc>
          <w:tcPr>
            <w:tcW w:w="3028" w:type="dxa"/>
            <w:tcBorders>
              <w:top w:val="single" w:sz="12" w:space="0" w:color="auto"/>
              <w:bottom w:val="single" w:sz="4" w:space="0" w:color="auto"/>
            </w:tcBorders>
          </w:tcPr>
          <w:p w:rsidR="00F93D64" w:rsidRPr="00F93D64" w:rsidRDefault="00F93D64" w:rsidP="00C73FF4">
            <w:pPr>
              <w:pStyle w:val="ListParagraph"/>
              <w:ind w:left="0"/>
              <w:jc w:val="center"/>
              <w:rPr>
                <w:sz w:val="22"/>
                <w:szCs w:val="22"/>
              </w:rPr>
            </w:pPr>
            <w:r w:rsidRPr="00F93D64">
              <w:rPr>
                <w:sz w:val="22"/>
                <w:szCs w:val="22"/>
              </w:rPr>
              <w:t>Gas</w:t>
            </w:r>
          </w:p>
        </w:tc>
        <w:tc>
          <w:tcPr>
            <w:tcW w:w="2979" w:type="dxa"/>
            <w:tcBorders>
              <w:top w:val="single" w:sz="12" w:space="0" w:color="auto"/>
              <w:bottom w:val="single" w:sz="4" w:space="0" w:color="auto"/>
            </w:tcBorders>
          </w:tcPr>
          <w:p w:rsidR="00F93D64" w:rsidRPr="00F93D64" w:rsidRDefault="00F93D64" w:rsidP="00C73FF4">
            <w:pPr>
              <w:pStyle w:val="ListParagraph"/>
              <w:ind w:left="0"/>
              <w:jc w:val="center"/>
              <w:rPr>
                <w:sz w:val="22"/>
                <w:szCs w:val="22"/>
              </w:rPr>
            </w:pPr>
            <w:r w:rsidRPr="00F93D64">
              <w:rPr>
                <w:sz w:val="22"/>
                <w:szCs w:val="22"/>
              </w:rPr>
              <w:t>Not applicable</w:t>
            </w:r>
          </w:p>
        </w:tc>
        <w:tc>
          <w:tcPr>
            <w:tcW w:w="2963" w:type="dxa"/>
            <w:tcBorders>
              <w:top w:val="single" w:sz="12" w:space="0" w:color="auto"/>
              <w:bottom w:val="single" w:sz="4" w:space="0" w:color="auto"/>
            </w:tcBorders>
          </w:tcPr>
          <w:p w:rsidR="00F93D64" w:rsidRPr="00F93D64" w:rsidRDefault="00F93D64" w:rsidP="00C73FF4">
            <w:pPr>
              <w:pStyle w:val="ListParagraph"/>
              <w:ind w:left="0"/>
              <w:jc w:val="center"/>
              <w:rPr>
                <w:sz w:val="22"/>
                <w:szCs w:val="22"/>
              </w:rPr>
            </w:pPr>
            <w:r w:rsidRPr="00F93D64">
              <w:rPr>
                <w:sz w:val="22"/>
                <w:szCs w:val="22"/>
              </w:rPr>
              <w:t>500</w:t>
            </w:r>
          </w:p>
        </w:tc>
      </w:tr>
      <w:tr w:rsidR="00F93D64" w:rsidRPr="00F93D64" w:rsidTr="00F93D64">
        <w:tc>
          <w:tcPr>
            <w:tcW w:w="3028" w:type="dxa"/>
            <w:tcBorders>
              <w:top w:val="single" w:sz="4" w:space="0" w:color="auto"/>
              <w:bottom w:val="single" w:sz="4" w:space="0" w:color="auto"/>
            </w:tcBorders>
          </w:tcPr>
          <w:p w:rsidR="00F93D64" w:rsidRPr="00F93D64" w:rsidRDefault="00F93D64" w:rsidP="00C73FF4">
            <w:pPr>
              <w:pStyle w:val="ListParagraph"/>
              <w:ind w:left="0"/>
              <w:jc w:val="center"/>
              <w:rPr>
                <w:sz w:val="22"/>
                <w:szCs w:val="22"/>
              </w:rPr>
            </w:pPr>
            <w:r w:rsidRPr="00F93D64">
              <w:rPr>
                <w:sz w:val="22"/>
                <w:szCs w:val="22"/>
              </w:rPr>
              <w:t>Liquid</w:t>
            </w:r>
          </w:p>
        </w:tc>
        <w:tc>
          <w:tcPr>
            <w:tcW w:w="2979" w:type="dxa"/>
            <w:tcBorders>
              <w:top w:val="single" w:sz="4" w:space="0" w:color="auto"/>
              <w:bottom w:val="single" w:sz="4" w:space="0" w:color="auto"/>
            </w:tcBorders>
          </w:tcPr>
          <w:p w:rsidR="00F93D64" w:rsidRPr="00F93D64" w:rsidRDefault="00F93D64" w:rsidP="00C73FF4">
            <w:pPr>
              <w:pStyle w:val="ListParagraph"/>
              <w:ind w:left="0"/>
              <w:jc w:val="center"/>
              <w:rPr>
                <w:sz w:val="22"/>
                <w:szCs w:val="22"/>
              </w:rPr>
            </w:pPr>
            <w:r w:rsidRPr="00F93D64">
              <w:rPr>
                <w:sz w:val="22"/>
                <w:szCs w:val="22"/>
              </w:rPr>
              <w:t>1,000</w:t>
            </w:r>
          </w:p>
        </w:tc>
        <w:tc>
          <w:tcPr>
            <w:tcW w:w="2963" w:type="dxa"/>
            <w:tcBorders>
              <w:top w:val="single" w:sz="4" w:space="0" w:color="auto"/>
              <w:bottom w:val="single" w:sz="4" w:space="0" w:color="auto"/>
            </w:tcBorders>
          </w:tcPr>
          <w:p w:rsidR="00F93D64" w:rsidRPr="00F93D64" w:rsidRDefault="00F93D64" w:rsidP="00C73FF4">
            <w:pPr>
              <w:pStyle w:val="ListParagraph"/>
              <w:ind w:left="0"/>
              <w:jc w:val="center"/>
              <w:rPr>
                <w:sz w:val="22"/>
                <w:szCs w:val="22"/>
              </w:rPr>
            </w:pPr>
            <w:r w:rsidRPr="00F93D64">
              <w:rPr>
                <w:sz w:val="22"/>
                <w:szCs w:val="22"/>
              </w:rPr>
              <w:t>500</w:t>
            </w:r>
          </w:p>
        </w:tc>
      </w:tr>
      <w:tr w:rsidR="00F93D64" w:rsidRPr="00F93D64" w:rsidTr="00F93D64">
        <w:tc>
          <w:tcPr>
            <w:tcW w:w="3028" w:type="dxa"/>
            <w:tcBorders>
              <w:top w:val="single" w:sz="4" w:space="0" w:color="auto"/>
            </w:tcBorders>
          </w:tcPr>
          <w:p w:rsidR="00F93D64" w:rsidRPr="00F93D64" w:rsidRDefault="00F93D64" w:rsidP="00C73FF4">
            <w:pPr>
              <w:pStyle w:val="ListParagraph"/>
              <w:ind w:left="0"/>
              <w:jc w:val="center"/>
              <w:rPr>
                <w:sz w:val="22"/>
                <w:szCs w:val="22"/>
              </w:rPr>
            </w:pPr>
            <w:r w:rsidRPr="00F93D64">
              <w:rPr>
                <w:sz w:val="22"/>
                <w:szCs w:val="22"/>
              </w:rPr>
              <w:t>Combinations</w:t>
            </w:r>
          </w:p>
        </w:tc>
        <w:tc>
          <w:tcPr>
            <w:tcW w:w="2979" w:type="dxa"/>
            <w:tcBorders>
              <w:top w:val="single" w:sz="4" w:space="0" w:color="auto"/>
            </w:tcBorders>
          </w:tcPr>
          <w:p w:rsidR="00F93D64" w:rsidRPr="00F93D64" w:rsidRDefault="00F93D64" w:rsidP="00C73FF4">
            <w:pPr>
              <w:pStyle w:val="ListParagraph"/>
              <w:ind w:left="0"/>
              <w:jc w:val="center"/>
              <w:rPr>
                <w:sz w:val="22"/>
                <w:szCs w:val="22"/>
              </w:rPr>
            </w:pPr>
            <w:r w:rsidRPr="00F93D64">
              <w:rPr>
                <w:sz w:val="22"/>
                <w:szCs w:val="22"/>
              </w:rPr>
              <w:t>1,000y</w:t>
            </w:r>
          </w:p>
        </w:tc>
        <w:tc>
          <w:tcPr>
            <w:tcW w:w="2963" w:type="dxa"/>
            <w:tcBorders>
              <w:top w:val="single" w:sz="4" w:space="0" w:color="auto"/>
            </w:tcBorders>
          </w:tcPr>
          <w:p w:rsidR="00F93D64" w:rsidRPr="00F93D64" w:rsidRDefault="00F93D64" w:rsidP="00C73FF4">
            <w:pPr>
              <w:pStyle w:val="ListParagraph"/>
              <w:ind w:left="0"/>
              <w:jc w:val="center"/>
              <w:rPr>
                <w:sz w:val="22"/>
                <w:szCs w:val="22"/>
              </w:rPr>
            </w:pPr>
            <w:r w:rsidRPr="00F93D64">
              <w:rPr>
                <w:sz w:val="22"/>
                <w:szCs w:val="22"/>
              </w:rPr>
              <w:t>500 (x + y)</w:t>
            </w:r>
          </w:p>
        </w:tc>
      </w:tr>
    </w:tbl>
    <w:p w:rsidR="00F93D64" w:rsidRPr="00F93D64" w:rsidRDefault="00F93D64" w:rsidP="00F93D64">
      <w:pPr>
        <w:pStyle w:val="ListParagraph"/>
        <w:spacing w:before="60"/>
        <w:ind w:left="1440"/>
        <w:rPr>
          <w:sz w:val="22"/>
          <w:szCs w:val="22"/>
        </w:rPr>
      </w:pPr>
      <w:r w:rsidRPr="00F93D64">
        <w:rPr>
          <w:sz w:val="22"/>
          <w:szCs w:val="22"/>
        </w:rPr>
        <w:t>Where:</w:t>
      </w:r>
    </w:p>
    <w:p w:rsidR="00F93D64" w:rsidRPr="00F93D64" w:rsidRDefault="00F93D64" w:rsidP="00F93D64">
      <w:pPr>
        <w:pStyle w:val="ListParagraph"/>
        <w:spacing w:before="60"/>
        <w:ind w:left="1440"/>
        <w:rPr>
          <w:sz w:val="22"/>
          <w:szCs w:val="22"/>
        </w:rPr>
      </w:pPr>
      <w:r w:rsidRPr="00F93D64">
        <w:rPr>
          <w:sz w:val="22"/>
          <w:szCs w:val="22"/>
        </w:rPr>
        <w:t>x  =  the fraction of total heat input derived from gaseous fossil fuel, and</w:t>
      </w:r>
    </w:p>
    <w:p w:rsidR="00F93D64" w:rsidRPr="00F93D64" w:rsidRDefault="00F93D64" w:rsidP="00F93D64">
      <w:pPr>
        <w:pStyle w:val="ListParagraph"/>
        <w:spacing w:before="60"/>
        <w:ind w:left="1440"/>
        <w:rPr>
          <w:sz w:val="22"/>
          <w:szCs w:val="22"/>
        </w:rPr>
      </w:pPr>
      <w:r w:rsidRPr="00F93D64">
        <w:rPr>
          <w:sz w:val="22"/>
          <w:szCs w:val="22"/>
        </w:rPr>
        <w:t>y  =  the fraction of total heat input derived from liquid fossil fuel.</w:t>
      </w:r>
    </w:p>
    <w:p w:rsidR="00F93D64" w:rsidRPr="00F93D64" w:rsidRDefault="00F93D64" w:rsidP="00CB423F">
      <w:pPr>
        <w:pStyle w:val="ListParagraph"/>
        <w:numPr>
          <w:ilvl w:val="0"/>
          <w:numId w:val="12"/>
        </w:numPr>
        <w:ind w:left="1440"/>
        <w:contextualSpacing w:val="0"/>
        <w:rPr>
          <w:sz w:val="22"/>
          <w:szCs w:val="22"/>
        </w:rPr>
      </w:pPr>
      <w:bookmarkStart w:id="13" w:name="_Ref519865050"/>
      <w:r w:rsidRPr="00F93D64">
        <w:rPr>
          <w:bCs/>
          <w:sz w:val="22"/>
          <w:szCs w:val="22"/>
        </w:rPr>
        <w:t>As an acceptable alternative, the owner or operator of an affected facility may elect to use the SO</w:t>
      </w:r>
      <w:r w:rsidRPr="00F93D64">
        <w:rPr>
          <w:bCs/>
          <w:sz w:val="22"/>
          <w:szCs w:val="22"/>
          <w:vertAlign w:val="subscript"/>
        </w:rPr>
        <w:t>2</w:t>
      </w:r>
      <w:r w:rsidRPr="00F93D64">
        <w:rPr>
          <w:bCs/>
          <w:sz w:val="22"/>
          <w:szCs w:val="22"/>
        </w:rPr>
        <w:t xml:space="preserve"> and NO</w:t>
      </w:r>
      <w:r w:rsidRPr="00F93D64">
        <w:rPr>
          <w:bCs/>
          <w:sz w:val="22"/>
          <w:szCs w:val="22"/>
          <w:vertAlign w:val="subscript"/>
        </w:rPr>
        <w:t>X</w:t>
      </w:r>
      <w:r w:rsidRPr="00F93D64">
        <w:rPr>
          <w:bCs/>
          <w:sz w:val="22"/>
          <w:szCs w:val="22"/>
        </w:rPr>
        <w:t xml:space="preserve"> span values determined according to sections 2.1.1 and 2.1.2 in appendix A to part 75 of this chapter. Span values shall be rounded off according to the applicable procedures in section 2 of appendix A to </w:t>
      </w:r>
      <w:r w:rsidRPr="00F93D64">
        <w:rPr>
          <w:bCs/>
          <w:strike/>
          <w:sz w:val="22"/>
          <w:szCs w:val="22"/>
          <w:highlight w:val="yellow"/>
        </w:rPr>
        <w:t>part</w:t>
      </w:r>
      <w:r w:rsidRPr="00F93D64">
        <w:rPr>
          <w:bCs/>
          <w:sz w:val="22"/>
          <w:szCs w:val="22"/>
        </w:rPr>
        <w:t xml:space="preserve"> </w:t>
      </w:r>
      <w:r w:rsidRPr="00F93D64">
        <w:rPr>
          <w:bCs/>
          <w:sz w:val="22"/>
          <w:szCs w:val="22"/>
          <w:highlight w:val="yellow"/>
          <w:u w:val="double"/>
        </w:rPr>
        <w:t>40 CFR</w:t>
      </w:r>
      <w:r w:rsidRPr="00F93D64">
        <w:rPr>
          <w:bCs/>
          <w:sz w:val="22"/>
          <w:szCs w:val="22"/>
        </w:rPr>
        <w:t xml:space="preserve"> 75.</w:t>
      </w:r>
      <w:bookmarkEnd w:id="13"/>
    </w:p>
    <w:p w:rsidR="00F93D64" w:rsidRPr="00F93D64" w:rsidRDefault="00F93D64" w:rsidP="00CB423F">
      <w:pPr>
        <w:pStyle w:val="ListParagraph"/>
        <w:numPr>
          <w:ilvl w:val="0"/>
          <w:numId w:val="11"/>
        </w:numPr>
        <w:tabs>
          <w:tab w:val="left" w:pos="1080"/>
        </w:tabs>
        <w:contextualSpacing w:val="0"/>
        <w:rPr>
          <w:sz w:val="22"/>
          <w:szCs w:val="22"/>
          <w:u w:val="double"/>
        </w:rPr>
      </w:pPr>
      <w:r w:rsidRPr="00F93D64">
        <w:rPr>
          <w:sz w:val="22"/>
          <w:szCs w:val="22"/>
        </w:rPr>
        <w:t xml:space="preserve">All span values computed under </w:t>
      </w:r>
      <w:r w:rsidRPr="00F93D64">
        <w:rPr>
          <w:strike/>
          <w:sz w:val="22"/>
          <w:szCs w:val="22"/>
          <w:highlight w:val="yellow"/>
        </w:rPr>
        <w:t>40 CFR 60.45(c)(3)</w:t>
      </w:r>
      <w:r w:rsidRPr="00F93D64">
        <w:rPr>
          <w:sz w:val="22"/>
          <w:szCs w:val="22"/>
        </w:rPr>
        <w:t xml:space="preserve"> paragraph </w:t>
      </w:r>
      <w:r w:rsidRPr="00F93D64">
        <w:rPr>
          <w:b/>
          <w:sz w:val="22"/>
          <w:szCs w:val="22"/>
        </w:rPr>
        <w:t>c(1)</w:t>
      </w:r>
      <w:r w:rsidRPr="00F93D64">
        <w:rPr>
          <w:sz w:val="22"/>
          <w:szCs w:val="22"/>
        </w:rPr>
        <w:t xml:space="preserve"> for burning combinations of fossil fuels shall be rounded to the nearest 500 ppm.  </w:t>
      </w:r>
      <w:r w:rsidRPr="00F93D64">
        <w:rPr>
          <w:sz w:val="22"/>
          <w:szCs w:val="22"/>
          <w:highlight w:val="yellow"/>
          <w:u w:val="double"/>
        </w:rPr>
        <w:t xml:space="preserve">Span values that are computed under paragraph </w:t>
      </w:r>
      <w:r w:rsidRPr="00F93D64">
        <w:rPr>
          <w:b/>
          <w:sz w:val="22"/>
          <w:szCs w:val="22"/>
          <w:highlight w:val="yellow"/>
          <w:u w:val="double"/>
        </w:rPr>
        <w:t>c</w:t>
      </w:r>
      <w:r>
        <w:rPr>
          <w:b/>
          <w:sz w:val="22"/>
          <w:szCs w:val="22"/>
          <w:highlight w:val="yellow"/>
          <w:u w:val="double"/>
        </w:rPr>
        <w:t>(2)</w:t>
      </w:r>
      <w:r w:rsidRPr="00F93D64">
        <w:rPr>
          <w:sz w:val="22"/>
          <w:szCs w:val="22"/>
          <w:highlight w:val="yellow"/>
          <w:u w:val="double"/>
        </w:rPr>
        <w:t xml:space="preserve"> shall be rounded off according to the applicable procedures in section 2 of appendix A to 40 CFR 75.</w:t>
      </w:r>
    </w:p>
    <w:p w:rsidR="00F93D64" w:rsidRPr="00F93D64" w:rsidRDefault="00F93D64" w:rsidP="00CB423F">
      <w:pPr>
        <w:pStyle w:val="ListParagraph"/>
        <w:numPr>
          <w:ilvl w:val="0"/>
          <w:numId w:val="11"/>
        </w:numPr>
        <w:tabs>
          <w:tab w:val="left" w:pos="1080"/>
        </w:tabs>
        <w:contextualSpacing w:val="0"/>
        <w:rPr>
          <w:strike/>
          <w:sz w:val="22"/>
          <w:szCs w:val="22"/>
          <w:highlight w:val="yellow"/>
        </w:rPr>
      </w:pPr>
      <w:r w:rsidRPr="00F93D64">
        <w:rPr>
          <w:strike/>
          <w:sz w:val="22"/>
          <w:szCs w:val="22"/>
          <w:highlight w:val="yellow"/>
        </w:rPr>
        <w:t>For a fossil fuel-fired steam generator that simultaneously burns fossil fuel and nonfossil fuel, the span value of all continuous monitoring systems shall be subject to the Administrator's approval.</w:t>
      </w:r>
    </w:p>
    <w:p w:rsidR="00F93D64" w:rsidRPr="00F93D64" w:rsidRDefault="00F93D64" w:rsidP="00F93D64">
      <w:pPr>
        <w:spacing w:after="120"/>
        <w:ind w:left="720"/>
        <w:rPr>
          <w:sz w:val="22"/>
          <w:szCs w:val="22"/>
        </w:rPr>
      </w:pPr>
      <w:r w:rsidRPr="00F93D64">
        <w:rPr>
          <w:sz w:val="22"/>
          <w:szCs w:val="22"/>
        </w:rPr>
        <w:t>[40 CFR 60.45(c)]</w:t>
      </w:r>
    </w:p>
    <w:p w:rsidR="00F93D64" w:rsidRDefault="00060D93" w:rsidP="00CB423F">
      <w:pPr>
        <w:pStyle w:val="ListParagraph"/>
        <w:numPr>
          <w:ilvl w:val="0"/>
          <w:numId w:val="1"/>
        </w:numPr>
        <w:tabs>
          <w:tab w:val="left" w:pos="360"/>
        </w:tabs>
        <w:spacing w:after="120"/>
        <w:contextualSpacing w:val="0"/>
        <w:rPr>
          <w:bCs/>
          <w:sz w:val="22"/>
          <w:szCs w:val="22"/>
        </w:rPr>
      </w:pPr>
      <w:bookmarkStart w:id="14" w:name="_Ref520122976"/>
      <w:r>
        <w:rPr>
          <w:bCs/>
          <w:sz w:val="22"/>
          <w:szCs w:val="22"/>
        </w:rPr>
        <w:t xml:space="preserve">Specific Condition </w:t>
      </w:r>
      <w:r>
        <w:rPr>
          <w:b/>
          <w:bCs/>
          <w:sz w:val="22"/>
          <w:szCs w:val="22"/>
        </w:rPr>
        <w:t>A.34</w:t>
      </w:r>
      <w:r>
        <w:rPr>
          <w:bCs/>
          <w:sz w:val="22"/>
          <w:szCs w:val="22"/>
        </w:rPr>
        <w:t xml:space="preserve"> (formerly </w:t>
      </w:r>
      <w:r>
        <w:rPr>
          <w:b/>
          <w:bCs/>
          <w:sz w:val="22"/>
          <w:szCs w:val="22"/>
        </w:rPr>
        <w:t>A.31</w:t>
      </w:r>
      <w:r>
        <w:rPr>
          <w:bCs/>
          <w:sz w:val="22"/>
          <w:szCs w:val="22"/>
        </w:rPr>
        <w:t xml:space="preserve"> of Permit No. 0850001-040-AV) is a CEMS data reporting requirement that has been deleted and move to the </w:t>
      </w:r>
      <w:r>
        <w:rPr>
          <w:b/>
          <w:bCs/>
          <w:sz w:val="22"/>
          <w:szCs w:val="22"/>
          <w:u w:val="single"/>
        </w:rPr>
        <w:t>Recordkeeping and Reporting</w:t>
      </w:r>
      <w:r>
        <w:rPr>
          <w:bCs/>
          <w:sz w:val="22"/>
          <w:szCs w:val="22"/>
        </w:rPr>
        <w:t xml:space="preserve"> section of this subsection.</w:t>
      </w:r>
      <w:bookmarkEnd w:id="14"/>
    </w:p>
    <w:p w:rsidR="00060D93" w:rsidRDefault="00060D93" w:rsidP="00CB423F">
      <w:pPr>
        <w:pStyle w:val="ListParagraph"/>
        <w:numPr>
          <w:ilvl w:val="0"/>
          <w:numId w:val="1"/>
        </w:numPr>
        <w:tabs>
          <w:tab w:val="left" w:pos="360"/>
        </w:tabs>
        <w:spacing w:after="120"/>
        <w:contextualSpacing w:val="0"/>
        <w:rPr>
          <w:bCs/>
          <w:sz w:val="22"/>
          <w:szCs w:val="22"/>
        </w:rPr>
      </w:pPr>
      <w:r>
        <w:rPr>
          <w:bCs/>
          <w:sz w:val="22"/>
          <w:szCs w:val="22"/>
        </w:rPr>
        <w:t xml:space="preserve">As stated in item </w:t>
      </w:r>
      <w:r w:rsidRPr="00060D93">
        <w:rPr>
          <w:b/>
          <w:bCs/>
          <w:sz w:val="22"/>
          <w:szCs w:val="22"/>
        </w:rPr>
        <w:fldChar w:fldCharType="begin"/>
      </w:r>
      <w:r w:rsidRPr="00060D93">
        <w:rPr>
          <w:b/>
          <w:bCs/>
          <w:sz w:val="22"/>
          <w:szCs w:val="22"/>
        </w:rPr>
        <w:instrText xml:space="preserve"> REF _Ref520102841 \r \h </w:instrText>
      </w:r>
      <w:r>
        <w:rPr>
          <w:b/>
          <w:bCs/>
          <w:sz w:val="22"/>
          <w:szCs w:val="22"/>
        </w:rPr>
        <w:instrText xml:space="preserve"> \* MERGEFORMAT </w:instrText>
      </w:r>
      <w:r w:rsidRPr="00060D93">
        <w:rPr>
          <w:b/>
          <w:bCs/>
          <w:sz w:val="22"/>
          <w:szCs w:val="22"/>
        </w:rPr>
      </w:r>
      <w:r w:rsidRPr="00060D93">
        <w:rPr>
          <w:b/>
          <w:bCs/>
          <w:sz w:val="22"/>
          <w:szCs w:val="22"/>
        </w:rPr>
        <w:fldChar w:fldCharType="separate"/>
      </w:r>
      <w:r w:rsidR="00C76A61">
        <w:rPr>
          <w:b/>
          <w:bCs/>
          <w:sz w:val="22"/>
          <w:szCs w:val="22"/>
        </w:rPr>
        <w:t>26</w:t>
      </w:r>
      <w:r w:rsidRPr="00060D93">
        <w:rPr>
          <w:b/>
          <w:bCs/>
          <w:sz w:val="22"/>
          <w:szCs w:val="22"/>
        </w:rPr>
        <w:fldChar w:fldCharType="end"/>
      </w:r>
      <w:r>
        <w:rPr>
          <w:bCs/>
          <w:sz w:val="22"/>
          <w:szCs w:val="22"/>
        </w:rPr>
        <w:t xml:space="preserve">, to reflect current Title V air operation permit format standards, the </w:t>
      </w:r>
      <w:r>
        <w:rPr>
          <w:b/>
          <w:bCs/>
          <w:sz w:val="22"/>
          <w:szCs w:val="22"/>
          <w:u w:val="single"/>
        </w:rPr>
        <w:t>Monitoring of Operations</w:t>
      </w:r>
      <w:r>
        <w:rPr>
          <w:bCs/>
          <w:sz w:val="22"/>
          <w:szCs w:val="22"/>
        </w:rPr>
        <w:t xml:space="preserve"> section and CAM plan requirements have been revised and removed.  Specific Condition </w:t>
      </w:r>
      <w:r>
        <w:rPr>
          <w:b/>
          <w:bCs/>
          <w:sz w:val="22"/>
          <w:szCs w:val="22"/>
        </w:rPr>
        <w:t>A.35</w:t>
      </w:r>
      <w:r>
        <w:rPr>
          <w:bCs/>
          <w:sz w:val="22"/>
          <w:szCs w:val="22"/>
        </w:rPr>
        <w:t xml:space="preserve"> (formerly </w:t>
      </w:r>
      <w:r>
        <w:rPr>
          <w:b/>
          <w:bCs/>
          <w:sz w:val="22"/>
          <w:szCs w:val="22"/>
        </w:rPr>
        <w:t>A.32</w:t>
      </w:r>
      <w:r>
        <w:rPr>
          <w:bCs/>
          <w:sz w:val="22"/>
          <w:szCs w:val="22"/>
        </w:rPr>
        <w:t xml:space="preserve"> of Permit No. 0850001-040-AV) now exists as Specific Condition </w:t>
      </w:r>
      <w:r>
        <w:rPr>
          <w:b/>
          <w:bCs/>
          <w:sz w:val="22"/>
          <w:szCs w:val="22"/>
        </w:rPr>
        <w:t>A.20</w:t>
      </w:r>
      <w:r>
        <w:rPr>
          <w:bCs/>
          <w:sz w:val="22"/>
          <w:szCs w:val="22"/>
        </w:rPr>
        <w:t xml:space="preserve"> in the draft permit.</w:t>
      </w:r>
    </w:p>
    <w:p w:rsidR="00060D93" w:rsidRDefault="00685B23" w:rsidP="00CB423F">
      <w:pPr>
        <w:pStyle w:val="ListParagraph"/>
        <w:numPr>
          <w:ilvl w:val="0"/>
          <w:numId w:val="1"/>
        </w:numPr>
        <w:tabs>
          <w:tab w:val="left" w:pos="360"/>
        </w:tabs>
        <w:spacing w:after="120"/>
        <w:contextualSpacing w:val="0"/>
        <w:rPr>
          <w:bCs/>
          <w:sz w:val="22"/>
          <w:szCs w:val="22"/>
        </w:rPr>
      </w:pPr>
      <w:r>
        <w:rPr>
          <w:bCs/>
          <w:sz w:val="22"/>
          <w:szCs w:val="22"/>
        </w:rPr>
        <w:t xml:space="preserve">To reflect current Title V air operation permit format standards and the removal of obsolete , Specific Condition </w:t>
      </w:r>
      <w:r>
        <w:rPr>
          <w:b/>
          <w:bCs/>
          <w:sz w:val="22"/>
          <w:szCs w:val="22"/>
        </w:rPr>
        <w:t>A.36</w:t>
      </w:r>
      <w:r>
        <w:rPr>
          <w:bCs/>
          <w:sz w:val="22"/>
          <w:szCs w:val="22"/>
        </w:rPr>
        <w:t xml:space="preserve"> (formerly </w:t>
      </w:r>
      <w:r>
        <w:rPr>
          <w:b/>
          <w:bCs/>
          <w:sz w:val="22"/>
          <w:szCs w:val="22"/>
        </w:rPr>
        <w:t>A.33</w:t>
      </w:r>
      <w:r>
        <w:rPr>
          <w:bCs/>
          <w:sz w:val="22"/>
          <w:szCs w:val="22"/>
        </w:rPr>
        <w:t xml:space="preserve"> of Permit No. 0850001-040-AV) has been revised as follows:</w:t>
      </w:r>
    </w:p>
    <w:p w:rsidR="00685B23" w:rsidRPr="00685B23" w:rsidRDefault="00685B23" w:rsidP="00CB423F">
      <w:pPr>
        <w:pStyle w:val="ListParagraph"/>
        <w:numPr>
          <w:ilvl w:val="0"/>
          <w:numId w:val="13"/>
        </w:numPr>
        <w:tabs>
          <w:tab w:val="left" w:pos="0"/>
          <w:tab w:val="left" w:pos="1080"/>
        </w:tabs>
        <w:spacing w:after="120"/>
        <w:ind w:left="720"/>
        <w:contextualSpacing w:val="0"/>
        <w:rPr>
          <w:bCs/>
          <w:sz w:val="22"/>
          <w:szCs w:val="22"/>
        </w:rPr>
      </w:pPr>
      <w:r w:rsidRPr="00685B23">
        <w:rPr>
          <w:sz w:val="22"/>
          <w:szCs w:val="22"/>
          <w:u w:val="single"/>
        </w:rPr>
        <w:t>Test Methods</w:t>
      </w:r>
      <w:r w:rsidRPr="00685B23">
        <w:rPr>
          <w:sz w:val="22"/>
          <w:szCs w:val="22"/>
        </w:rPr>
        <w:t xml:space="preserve">.  </w:t>
      </w:r>
      <w:r w:rsidRPr="00685B23">
        <w:rPr>
          <w:sz w:val="22"/>
          <w:szCs w:val="22"/>
          <w:highlight w:val="yellow"/>
          <w:u w:val="double"/>
        </w:rPr>
        <w:t>When</w:t>
      </w:r>
      <w:r w:rsidRPr="00685B23">
        <w:rPr>
          <w:sz w:val="22"/>
          <w:szCs w:val="22"/>
        </w:rPr>
        <w:t xml:space="preserve"> </w:t>
      </w:r>
      <w:r w:rsidRPr="00685B23">
        <w:rPr>
          <w:strike/>
          <w:sz w:val="22"/>
          <w:szCs w:val="22"/>
          <w:highlight w:val="yellow"/>
        </w:rPr>
        <w:t>R</w:t>
      </w:r>
      <w:r w:rsidRPr="00685B23">
        <w:rPr>
          <w:sz w:val="22"/>
          <w:szCs w:val="22"/>
          <w:highlight w:val="yellow"/>
          <w:u w:val="double"/>
        </w:rPr>
        <w:t>r</w:t>
      </w:r>
      <w:r w:rsidRPr="00685B23">
        <w:rPr>
          <w:sz w:val="22"/>
          <w:szCs w:val="22"/>
        </w:rPr>
        <w:t>equired tests shall be performed in accordance with the following reference methods.</w:t>
      </w:r>
    </w:p>
    <w:tbl>
      <w:tblPr>
        <w:tblW w:w="9468" w:type="dxa"/>
        <w:tblInd w:w="70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685B23" w:rsidRPr="00685B23" w:rsidTr="00685B23">
        <w:trPr>
          <w:tblHeader/>
        </w:trPr>
        <w:tc>
          <w:tcPr>
            <w:tcW w:w="1224" w:type="dxa"/>
            <w:tcBorders>
              <w:top w:val="single" w:sz="12" w:space="0" w:color="auto"/>
              <w:left w:val="single" w:sz="12" w:space="0" w:color="auto"/>
              <w:bottom w:val="single" w:sz="12" w:space="0" w:color="auto"/>
            </w:tcBorders>
          </w:tcPr>
          <w:p w:rsidR="00685B23" w:rsidRPr="00685B23" w:rsidRDefault="00685B23" w:rsidP="00685B23">
            <w:pPr>
              <w:jc w:val="center"/>
              <w:rPr>
                <w:b/>
                <w:sz w:val="22"/>
              </w:rPr>
            </w:pPr>
            <w:r w:rsidRPr="00685B23">
              <w:rPr>
                <w:b/>
                <w:sz w:val="22"/>
              </w:rPr>
              <w:t>Method</w:t>
            </w:r>
          </w:p>
        </w:tc>
        <w:tc>
          <w:tcPr>
            <w:tcW w:w="8244" w:type="dxa"/>
            <w:tcBorders>
              <w:top w:val="single" w:sz="12" w:space="0" w:color="auto"/>
              <w:bottom w:val="single" w:sz="12" w:space="0" w:color="auto"/>
              <w:right w:val="single" w:sz="12" w:space="0" w:color="auto"/>
            </w:tcBorders>
          </w:tcPr>
          <w:p w:rsidR="00685B23" w:rsidRPr="00685B23" w:rsidRDefault="00685B23" w:rsidP="00685B23">
            <w:pPr>
              <w:rPr>
                <w:b/>
                <w:sz w:val="22"/>
              </w:rPr>
            </w:pPr>
            <w:r w:rsidRPr="00685B23">
              <w:rPr>
                <w:b/>
                <w:sz w:val="22"/>
              </w:rPr>
              <w:t>Description of Method and Comments</w:t>
            </w:r>
          </w:p>
        </w:tc>
      </w:tr>
      <w:tr w:rsidR="00685B23" w:rsidRPr="00685B23" w:rsidTr="00685B23">
        <w:tc>
          <w:tcPr>
            <w:tcW w:w="1224" w:type="dxa"/>
            <w:tcBorders>
              <w:top w:val="single" w:sz="12" w:space="0" w:color="auto"/>
              <w:left w:val="single" w:sz="12" w:space="0" w:color="auto"/>
            </w:tcBorders>
            <w:vAlign w:val="center"/>
          </w:tcPr>
          <w:p w:rsidR="00685B23" w:rsidRPr="00685B23" w:rsidRDefault="00685B23" w:rsidP="00685B23">
            <w:pPr>
              <w:jc w:val="center"/>
              <w:rPr>
                <w:sz w:val="22"/>
                <w:highlight w:val="yellow"/>
              </w:rPr>
            </w:pPr>
            <w:r w:rsidRPr="00685B23">
              <w:rPr>
                <w:sz w:val="22"/>
                <w:szCs w:val="22"/>
              </w:rPr>
              <w:t>1-4</w:t>
            </w:r>
          </w:p>
        </w:tc>
        <w:tc>
          <w:tcPr>
            <w:tcW w:w="8244" w:type="dxa"/>
            <w:tcBorders>
              <w:top w:val="single" w:sz="12" w:space="0" w:color="auto"/>
              <w:right w:val="single" w:sz="12" w:space="0" w:color="auto"/>
            </w:tcBorders>
            <w:vAlign w:val="center"/>
          </w:tcPr>
          <w:p w:rsidR="00685B23" w:rsidRPr="00685B23" w:rsidRDefault="00685B23" w:rsidP="00685B23">
            <w:pPr>
              <w:rPr>
                <w:sz w:val="22"/>
                <w:highlight w:val="yellow"/>
              </w:rPr>
            </w:pPr>
            <w:r w:rsidRPr="00685B23">
              <w:rPr>
                <w:sz w:val="22"/>
                <w:szCs w:val="22"/>
              </w:rPr>
              <w:t>Traverse Points, Velocity and Flow Rate, Gas Analysis, and Moisture Content</w:t>
            </w:r>
          </w:p>
        </w:tc>
      </w:tr>
      <w:tr w:rsidR="00685B23" w:rsidRPr="00685B23" w:rsidTr="00685B23">
        <w:tc>
          <w:tcPr>
            <w:tcW w:w="1224" w:type="dxa"/>
            <w:tcBorders>
              <w:left w:val="single" w:sz="12" w:space="0" w:color="auto"/>
            </w:tcBorders>
            <w:vAlign w:val="center"/>
          </w:tcPr>
          <w:p w:rsidR="00685B23" w:rsidRPr="00685B23" w:rsidRDefault="00685B23" w:rsidP="00685B23">
            <w:pPr>
              <w:spacing w:before="40" w:after="40"/>
              <w:jc w:val="center"/>
              <w:rPr>
                <w:sz w:val="22"/>
                <w:highlight w:val="yellow"/>
              </w:rPr>
            </w:pPr>
            <w:r w:rsidRPr="00685B23">
              <w:rPr>
                <w:sz w:val="22"/>
                <w:szCs w:val="22"/>
              </w:rPr>
              <w:t>3, 3A, 3B</w:t>
            </w:r>
          </w:p>
        </w:tc>
        <w:tc>
          <w:tcPr>
            <w:tcW w:w="8244" w:type="dxa"/>
            <w:tcBorders>
              <w:right w:val="single" w:sz="12" w:space="0" w:color="auto"/>
            </w:tcBorders>
            <w:vAlign w:val="center"/>
          </w:tcPr>
          <w:p w:rsidR="00685B23" w:rsidRPr="00685B23" w:rsidRDefault="00685B23" w:rsidP="00685B23">
            <w:pPr>
              <w:spacing w:before="40" w:after="40"/>
              <w:jc w:val="both"/>
              <w:rPr>
                <w:sz w:val="22"/>
                <w:highlight w:val="yellow"/>
              </w:rPr>
            </w:pPr>
            <w:r w:rsidRPr="00685B23">
              <w:rPr>
                <w:bCs/>
                <w:sz w:val="22"/>
                <w:szCs w:val="22"/>
              </w:rPr>
              <w:t>Determination of Oxygen and Carbon Dioxide Concentrations in Emissions from Stationary Sources</w:t>
            </w:r>
          </w:p>
        </w:tc>
      </w:tr>
      <w:tr w:rsidR="00685B23" w:rsidRPr="00685B23" w:rsidTr="00685B23">
        <w:tc>
          <w:tcPr>
            <w:tcW w:w="1224" w:type="dxa"/>
            <w:tcBorders>
              <w:left w:val="single" w:sz="12" w:space="0" w:color="auto"/>
            </w:tcBorders>
            <w:vAlign w:val="center"/>
          </w:tcPr>
          <w:p w:rsidR="00685B23" w:rsidRPr="00685B23" w:rsidRDefault="00685B23" w:rsidP="00685B23">
            <w:pPr>
              <w:jc w:val="center"/>
              <w:rPr>
                <w:sz w:val="22"/>
                <w:highlight w:val="yellow"/>
              </w:rPr>
            </w:pPr>
            <w:r w:rsidRPr="00685B23">
              <w:rPr>
                <w:sz w:val="22"/>
                <w:szCs w:val="22"/>
              </w:rPr>
              <w:t>5, 5B, 17</w:t>
            </w:r>
          </w:p>
        </w:tc>
        <w:tc>
          <w:tcPr>
            <w:tcW w:w="8244" w:type="dxa"/>
            <w:tcBorders>
              <w:right w:val="single" w:sz="12" w:space="0" w:color="auto"/>
            </w:tcBorders>
            <w:vAlign w:val="center"/>
          </w:tcPr>
          <w:p w:rsidR="00685B23" w:rsidRPr="00685B23" w:rsidRDefault="00685B23" w:rsidP="00685B23">
            <w:pPr>
              <w:rPr>
                <w:sz w:val="22"/>
                <w:highlight w:val="yellow"/>
              </w:rPr>
            </w:pPr>
            <w:r w:rsidRPr="00685B23">
              <w:rPr>
                <w:sz w:val="22"/>
                <w:szCs w:val="22"/>
              </w:rPr>
              <w:t>Method for Determining Particulate Matter Emissions (All PM is assumed to be PM</w:t>
            </w:r>
            <w:r w:rsidRPr="00685B23">
              <w:rPr>
                <w:sz w:val="22"/>
                <w:szCs w:val="22"/>
                <w:vertAlign w:val="subscript"/>
              </w:rPr>
              <w:t>10</w:t>
            </w:r>
            <w:r w:rsidRPr="00685B23">
              <w:rPr>
                <w:sz w:val="22"/>
                <w:szCs w:val="22"/>
              </w:rPr>
              <w:t>.)</w:t>
            </w:r>
          </w:p>
        </w:tc>
      </w:tr>
      <w:tr w:rsidR="00685B23" w:rsidRPr="00685B23" w:rsidTr="00685B23">
        <w:tc>
          <w:tcPr>
            <w:tcW w:w="1224" w:type="dxa"/>
            <w:tcBorders>
              <w:left w:val="single" w:sz="12" w:space="0" w:color="auto"/>
            </w:tcBorders>
            <w:vAlign w:val="center"/>
          </w:tcPr>
          <w:p w:rsidR="00685B23" w:rsidRPr="00685B23" w:rsidRDefault="00685B23" w:rsidP="00685B23">
            <w:pPr>
              <w:jc w:val="center"/>
              <w:rPr>
                <w:sz w:val="22"/>
                <w:highlight w:val="yellow"/>
              </w:rPr>
            </w:pPr>
            <w:r w:rsidRPr="00685B23">
              <w:rPr>
                <w:sz w:val="22"/>
                <w:szCs w:val="22"/>
              </w:rPr>
              <w:t>6, 6A, 6B, 6C</w:t>
            </w:r>
          </w:p>
        </w:tc>
        <w:tc>
          <w:tcPr>
            <w:tcW w:w="8244" w:type="dxa"/>
            <w:tcBorders>
              <w:right w:val="single" w:sz="12" w:space="0" w:color="auto"/>
            </w:tcBorders>
            <w:vAlign w:val="center"/>
          </w:tcPr>
          <w:p w:rsidR="00685B23" w:rsidRPr="00685B23" w:rsidRDefault="00685B23" w:rsidP="00685B23">
            <w:pPr>
              <w:rPr>
                <w:sz w:val="22"/>
                <w:highlight w:val="yellow"/>
              </w:rPr>
            </w:pPr>
            <w:r w:rsidRPr="00685B23">
              <w:rPr>
                <w:sz w:val="22"/>
                <w:szCs w:val="22"/>
              </w:rPr>
              <w:t>Determination of Sulfur Dioxide Emissions from Stationary Sources</w:t>
            </w:r>
          </w:p>
        </w:tc>
      </w:tr>
      <w:tr w:rsidR="00685B23" w:rsidRPr="00685B23" w:rsidTr="00685B23">
        <w:tc>
          <w:tcPr>
            <w:tcW w:w="1224" w:type="dxa"/>
            <w:tcBorders>
              <w:left w:val="single" w:sz="12" w:space="0" w:color="auto"/>
            </w:tcBorders>
            <w:vAlign w:val="center"/>
          </w:tcPr>
          <w:p w:rsidR="00685B23" w:rsidRPr="00685B23" w:rsidRDefault="00685B23" w:rsidP="00685B23">
            <w:pPr>
              <w:jc w:val="center"/>
              <w:rPr>
                <w:sz w:val="22"/>
                <w:highlight w:val="yellow"/>
              </w:rPr>
            </w:pPr>
            <w:r w:rsidRPr="00685B23">
              <w:rPr>
                <w:sz w:val="22"/>
                <w:szCs w:val="22"/>
              </w:rPr>
              <w:t>7, 7A, 7C, 7D, 7E</w:t>
            </w:r>
          </w:p>
        </w:tc>
        <w:tc>
          <w:tcPr>
            <w:tcW w:w="8244" w:type="dxa"/>
            <w:tcBorders>
              <w:right w:val="single" w:sz="12" w:space="0" w:color="auto"/>
            </w:tcBorders>
            <w:vAlign w:val="center"/>
          </w:tcPr>
          <w:p w:rsidR="00685B23" w:rsidRPr="00685B23" w:rsidRDefault="00685B23" w:rsidP="00685B23">
            <w:pPr>
              <w:rPr>
                <w:sz w:val="22"/>
                <w:highlight w:val="yellow"/>
              </w:rPr>
            </w:pPr>
            <w:r w:rsidRPr="00685B23">
              <w:rPr>
                <w:sz w:val="22"/>
                <w:szCs w:val="22"/>
              </w:rPr>
              <w:t>Determination of Nitrogen Oxide Emissions from Stationary Sources</w:t>
            </w:r>
          </w:p>
        </w:tc>
      </w:tr>
      <w:tr w:rsidR="00685B23" w:rsidRPr="00685B23" w:rsidTr="00685B23">
        <w:trPr>
          <w:trHeight w:val="208"/>
        </w:trPr>
        <w:tc>
          <w:tcPr>
            <w:tcW w:w="1224" w:type="dxa"/>
            <w:tcBorders>
              <w:left w:val="single" w:sz="12" w:space="0" w:color="auto"/>
            </w:tcBorders>
            <w:vAlign w:val="center"/>
          </w:tcPr>
          <w:p w:rsidR="00685B23" w:rsidRPr="00685B23" w:rsidRDefault="00685B23" w:rsidP="00685B23">
            <w:pPr>
              <w:jc w:val="center"/>
              <w:rPr>
                <w:sz w:val="22"/>
                <w:highlight w:val="yellow"/>
              </w:rPr>
            </w:pPr>
            <w:r w:rsidRPr="00685B23">
              <w:rPr>
                <w:sz w:val="22"/>
                <w:szCs w:val="22"/>
              </w:rPr>
              <w:t>9</w:t>
            </w:r>
          </w:p>
        </w:tc>
        <w:tc>
          <w:tcPr>
            <w:tcW w:w="8244" w:type="dxa"/>
            <w:tcBorders>
              <w:right w:val="single" w:sz="12" w:space="0" w:color="auto"/>
            </w:tcBorders>
            <w:vAlign w:val="center"/>
          </w:tcPr>
          <w:p w:rsidR="00685B23" w:rsidRPr="00685B23" w:rsidRDefault="00685B23" w:rsidP="00685B23">
            <w:pPr>
              <w:autoSpaceDE w:val="0"/>
              <w:autoSpaceDN w:val="0"/>
              <w:adjustRightInd w:val="0"/>
              <w:rPr>
                <w:sz w:val="22"/>
                <w:highlight w:val="yellow"/>
              </w:rPr>
            </w:pPr>
            <w:r w:rsidRPr="00685B23">
              <w:rPr>
                <w:sz w:val="22"/>
                <w:szCs w:val="22"/>
              </w:rPr>
              <w:t>Visual Determination of the Opacity of Emissions from Stationary Sources</w:t>
            </w:r>
          </w:p>
        </w:tc>
      </w:tr>
      <w:tr w:rsidR="00685B23" w:rsidRPr="00685B23" w:rsidTr="00685B23">
        <w:trPr>
          <w:trHeight w:val="737"/>
        </w:trPr>
        <w:tc>
          <w:tcPr>
            <w:tcW w:w="1224" w:type="dxa"/>
            <w:tcBorders>
              <w:left w:val="single" w:sz="12" w:space="0" w:color="auto"/>
            </w:tcBorders>
            <w:vAlign w:val="center"/>
          </w:tcPr>
          <w:p w:rsidR="00685B23" w:rsidRPr="00685B23" w:rsidRDefault="00685B23" w:rsidP="00685B23">
            <w:pPr>
              <w:jc w:val="center"/>
              <w:rPr>
                <w:sz w:val="22"/>
                <w:highlight w:val="yellow"/>
              </w:rPr>
            </w:pPr>
            <w:r w:rsidRPr="00685B23">
              <w:rPr>
                <w:sz w:val="22"/>
                <w:szCs w:val="22"/>
              </w:rPr>
              <w:t>19</w:t>
            </w:r>
          </w:p>
        </w:tc>
        <w:tc>
          <w:tcPr>
            <w:tcW w:w="8244" w:type="dxa"/>
            <w:tcBorders>
              <w:right w:val="single" w:sz="12" w:space="0" w:color="auto"/>
            </w:tcBorders>
            <w:vAlign w:val="center"/>
          </w:tcPr>
          <w:p w:rsidR="00685B23" w:rsidRPr="00685B23" w:rsidRDefault="00685B23" w:rsidP="00685B23">
            <w:pPr>
              <w:rPr>
                <w:sz w:val="22"/>
                <w:highlight w:val="yellow"/>
              </w:rPr>
            </w:pPr>
            <w:r w:rsidRPr="00685B23">
              <w:rPr>
                <w:sz w:val="22"/>
                <w:szCs w:val="22"/>
              </w:rPr>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685B23" w:rsidRPr="00685B23" w:rsidTr="00685B23">
        <w:trPr>
          <w:trHeight w:val="154"/>
        </w:trPr>
        <w:tc>
          <w:tcPr>
            <w:tcW w:w="1224" w:type="dxa"/>
            <w:tcBorders>
              <w:left w:val="single" w:sz="12" w:space="0" w:color="auto"/>
              <w:bottom w:val="single" w:sz="12" w:space="0" w:color="auto"/>
            </w:tcBorders>
            <w:vAlign w:val="center"/>
          </w:tcPr>
          <w:p w:rsidR="00685B23" w:rsidRPr="00685B23" w:rsidRDefault="00685B23" w:rsidP="00685B23">
            <w:pPr>
              <w:spacing w:before="40" w:after="40"/>
              <w:jc w:val="center"/>
              <w:rPr>
                <w:sz w:val="22"/>
                <w:highlight w:val="yellow"/>
              </w:rPr>
            </w:pPr>
            <w:r w:rsidRPr="00685B23">
              <w:rPr>
                <w:sz w:val="22"/>
                <w:szCs w:val="22"/>
              </w:rPr>
              <w:t>20</w:t>
            </w:r>
          </w:p>
        </w:tc>
        <w:tc>
          <w:tcPr>
            <w:tcW w:w="8244" w:type="dxa"/>
            <w:tcBorders>
              <w:bottom w:val="single" w:sz="12" w:space="0" w:color="auto"/>
              <w:right w:val="single" w:sz="12" w:space="0" w:color="auto"/>
            </w:tcBorders>
            <w:vAlign w:val="center"/>
          </w:tcPr>
          <w:p w:rsidR="00685B23" w:rsidRPr="00685B23" w:rsidRDefault="00685B23" w:rsidP="00685B23">
            <w:pPr>
              <w:spacing w:before="40" w:after="40"/>
              <w:jc w:val="both"/>
              <w:rPr>
                <w:sz w:val="22"/>
              </w:rPr>
            </w:pPr>
            <w:r w:rsidRPr="00685B23">
              <w:rPr>
                <w:bCs/>
                <w:sz w:val="22"/>
                <w:szCs w:val="22"/>
              </w:rPr>
              <w:t>Determination of Nitrogen Oxides, Sulfur Dioxide and Diluent Emissions from Stationary Gas Turbines</w:t>
            </w:r>
          </w:p>
        </w:tc>
      </w:tr>
    </w:tbl>
    <w:p w:rsidR="00685B23" w:rsidRDefault="00685B23" w:rsidP="00685B23">
      <w:pPr>
        <w:pStyle w:val="ListParagraph"/>
        <w:tabs>
          <w:tab w:val="left" w:pos="0"/>
          <w:tab w:val="left" w:pos="1080"/>
        </w:tabs>
        <w:spacing w:after="120"/>
        <w:contextualSpacing w:val="0"/>
        <w:rPr>
          <w:sz w:val="22"/>
          <w:szCs w:val="22"/>
        </w:rPr>
      </w:pPr>
      <w:r w:rsidRPr="00685B23">
        <w:rPr>
          <w:sz w:val="22"/>
          <w:szCs w:val="22"/>
        </w:rPr>
        <w:t>The above methods are described in 40 CFR 60, Appendix A, and adopted by reference in Rule 62-204.800, F.A.C.  No other methods may be used unless prior written approval is received from the Department.  [</w:t>
      </w:r>
      <w:r w:rsidRPr="00685B23">
        <w:rPr>
          <w:strike/>
          <w:sz w:val="22"/>
          <w:szCs w:val="22"/>
          <w:highlight w:val="yellow"/>
        </w:rPr>
        <w:t>40 CFR 60, Appendix A; and</w:t>
      </w:r>
      <w:r w:rsidRPr="00685B23">
        <w:rPr>
          <w:sz w:val="22"/>
          <w:szCs w:val="22"/>
        </w:rPr>
        <w:t xml:space="preserve"> Rule</w:t>
      </w:r>
      <w:r w:rsidRPr="00685B23">
        <w:rPr>
          <w:strike/>
          <w:sz w:val="22"/>
          <w:szCs w:val="22"/>
          <w:highlight w:val="yellow"/>
        </w:rPr>
        <w:t>s</w:t>
      </w:r>
      <w:r w:rsidRPr="00685B23">
        <w:rPr>
          <w:sz w:val="22"/>
          <w:szCs w:val="22"/>
        </w:rPr>
        <w:t xml:space="preserve"> 62-</w:t>
      </w:r>
      <w:r w:rsidRPr="00685B23">
        <w:rPr>
          <w:sz w:val="22"/>
          <w:szCs w:val="22"/>
          <w:highlight w:val="yellow"/>
          <w:u w:val="double"/>
        </w:rPr>
        <w:t>204.800</w:t>
      </w:r>
      <w:r w:rsidRPr="00685B23">
        <w:rPr>
          <w:strike/>
          <w:sz w:val="22"/>
          <w:szCs w:val="22"/>
          <w:highlight w:val="yellow"/>
        </w:rPr>
        <w:t>297.400 and 62-297.620</w:t>
      </w:r>
      <w:r w:rsidRPr="00685B23">
        <w:rPr>
          <w:sz w:val="22"/>
          <w:szCs w:val="22"/>
        </w:rPr>
        <w:t>, F.A.C.]</w:t>
      </w:r>
    </w:p>
    <w:p w:rsidR="00685B23" w:rsidRDefault="00685B23" w:rsidP="00CB423F">
      <w:pPr>
        <w:pStyle w:val="ListParagraph"/>
        <w:numPr>
          <w:ilvl w:val="0"/>
          <w:numId w:val="1"/>
        </w:numPr>
        <w:tabs>
          <w:tab w:val="left" w:pos="360"/>
        </w:tabs>
        <w:spacing w:after="120"/>
        <w:contextualSpacing w:val="0"/>
        <w:rPr>
          <w:bCs/>
          <w:sz w:val="22"/>
          <w:szCs w:val="22"/>
        </w:rPr>
      </w:pPr>
      <w:r>
        <w:rPr>
          <w:bCs/>
          <w:sz w:val="22"/>
          <w:szCs w:val="22"/>
        </w:rPr>
        <w:t xml:space="preserve">To reflect current Title V air operation permit format standards and the current version of Rule 62-297.310, F.A.C., Specific Condition </w:t>
      </w:r>
      <w:r>
        <w:rPr>
          <w:b/>
          <w:bCs/>
          <w:sz w:val="22"/>
          <w:szCs w:val="22"/>
        </w:rPr>
        <w:t>A.38</w:t>
      </w:r>
      <w:r>
        <w:rPr>
          <w:bCs/>
          <w:sz w:val="22"/>
          <w:szCs w:val="22"/>
        </w:rPr>
        <w:t xml:space="preserve"> (formerly </w:t>
      </w:r>
      <w:r>
        <w:rPr>
          <w:b/>
          <w:bCs/>
          <w:sz w:val="22"/>
          <w:szCs w:val="22"/>
        </w:rPr>
        <w:t>A.35</w:t>
      </w:r>
      <w:r>
        <w:rPr>
          <w:bCs/>
          <w:sz w:val="22"/>
          <w:szCs w:val="22"/>
        </w:rPr>
        <w:t xml:space="preserve"> of Permit No. 0850001-040-AV)</w:t>
      </w:r>
      <w:r w:rsidR="00C73FF4">
        <w:rPr>
          <w:bCs/>
          <w:sz w:val="22"/>
          <w:szCs w:val="22"/>
        </w:rPr>
        <w:t xml:space="preserve"> has been revised as follows:</w:t>
      </w:r>
    </w:p>
    <w:p w:rsidR="00C73FF4" w:rsidRPr="00C73FF4" w:rsidRDefault="00C73FF4" w:rsidP="00CB423F">
      <w:pPr>
        <w:pStyle w:val="ListParagraph"/>
        <w:numPr>
          <w:ilvl w:val="0"/>
          <w:numId w:val="13"/>
        </w:numPr>
        <w:tabs>
          <w:tab w:val="left" w:pos="0"/>
          <w:tab w:val="left" w:pos="1080"/>
        </w:tabs>
        <w:spacing w:after="120"/>
        <w:ind w:left="720"/>
        <w:contextualSpacing w:val="0"/>
        <w:rPr>
          <w:bCs/>
          <w:sz w:val="22"/>
          <w:szCs w:val="22"/>
        </w:rPr>
      </w:pPr>
      <w:r w:rsidRPr="00C73FF4">
        <w:rPr>
          <w:sz w:val="22"/>
          <w:szCs w:val="22"/>
          <w:u w:val="single"/>
        </w:rPr>
        <w:t>Compliance Tests Prior To Renewal</w:t>
      </w:r>
      <w:r w:rsidRPr="00C73FF4">
        <w:rPr>
          <w:sz w:val="22"/>
          <w:szCs w:val="22"/>
        </w:rPr>
        <w:t xml:space="preserve">.  </w:t>
      </w:r>
      <w:r w:rsidRPr="00C73FF4">
        <w:rPr>
          <w:strike/>
          <w:sz w:val="22"/>
          <w:szCs w:val="22"/>
          <w:highlight w:val="yellow"/>
        </w:rPr>
        <w:t>Unless specifically exempted per Florida Rule 62-297</w:t>
      </w:r>
      <w:r w:rsidRPr="00C73FF4">
        <w:rPr>
          <w:sz w:val="22"/>
          <w:szCs w:val="22"/>
        </w:rPr>
        <w:t xml:space="preserve"> </w:t>
      </w:r>
      <w:r w:rsidRPr="00C73FF4">
        <w:rPr>
          <w:sz w:val="22"/>
          <w:szCs w:val="22"/>
          <w:highlight w:val="yellow"/>
          <w:u w:val="double"/>
        </w:rPr>
        <w:t>Except as provided in subparagraph 62-297.310(8)(b)3.</w:t>
      </w:r>
      <w:r w:rsidRPr="00C73FF4">
        <w:rPr>
          <w:sz w:val="22"/>
          <w:szCs w:val="22"/>
        </w:rPr>
        <w:t xml:space="preserve">, F.A.C. </w:t>
      </w:r>
      <w:r w:rsidRPr="00C73FF4">
        <w:rPr>
          <w:sz w:val="22"/>
          <w:szCs w:val="22"/>
          <w:highlight w:val="yellow"/>
          <w:u w:val="double"/>
        </w:rPr>
        <w:t xml:space="preserve">(see condition </w:t>
      </w:r>
      <w:r w:rsidRPr="00C73FF4">
        <w:rPr>
          <w:b/>
          <w:sz w:val="22"/>
          <w:szCs w:val="22"/>
          <w:highlight w:val="yellow"/>
          <w:u w:val="double"/>
        </w:rPr>
        <w:t>TR7.</w:t>
      </w:r>
      <w:r w:rsidRPr="00C73FF4">
        <w:rPr>
          <w:sz w:val="22"/>
          <w:szCs w:val="22"/>
          <w:highlight w:val="yellow"/>
          <w:u w:val="double"/>
        </w:rPr>
        <w:t>b.(3) in Appendix TR – Facility-wide Testing Requirements)</w:t>
      </w:r>
      <w:r w:rsidRPr="00C73FF4">
        <w:rPr>
          <w:sz w:val="22"/>
          <w:szCs w:val="22"/>
        </w:rPr>
        <w:t xml:space="preserve">, prior to permit renewal, compliance tests shall be performed for the following pollutants:  VE (except as provided in Specific Condition </w:t>
      </w:r>
      <w:r>
        <w:rPr>
          <w:b/>
          <w:strike/>
          <w:sz w:val="22"/>
          <w:szCs w:val="22"/>
          <w:highlight w:val="yellow"/>
        </w:rPr>
        <w:t>A.18</w:t>
      </w:r>
      <w:r>
        <w:rPr>
          <w:b/>
          <w:sz w:val="22"/>
          <w:szCs w:val="22"/>
          <w:highlight w:val="yellow"/>
          <w:u w:val="double"/>
        </w:rPr>
        <w:t>A.21</w:t>
      </w:r>
      <w:r w:rsidRPr="00C73FF4">
        <w:rPr>
          <w:sz w:val="22"/>
          <w:szCs w:val="22"/>
        </w:rPr>
        <w:t>), PM, NO</w:t>
      </w:r>
      <w:r w:rsidRPr="00C73FF4">
        <w:rPr>
          <w:sz w:val="22"/>
          <w:szCs w:val="22"/>
          <w:vertAlign w:val="subscript"/>
        </w:rPr>
        <w:t>X</w:t>
      </w:r>
      <w:r w:rsidRPr="00C73FF4">
        <w:rPr>
          <w:sz w:val="22"/>
          <w:szCs w:val="22"/>
        </w:rPr>
        <w:t xml:space="preserve"> and SO</w:t>
      </w:r>
      <w:r w:rsidRPr="00C73FF4">
        <w:rPr>
          <w:sz w:val="22"/>
          <w:szCs w:val="22"/>
          <w:vertAlign w:val="subscript"/>
        </w:rPr>
        <w:t>2</w:t>
      </w:r>
      <w:r w:rsidRPr="00C73FF4">
        <w:rPr>
          <w:sz w:val="22"/>
          <w:szCs w:val="22"/>
        </w:rPr>
        <w:t xml:space="preserve"> (except as provided in Specific Condition </w:t>
      </w:r>
      <w:r>
        <w:rPr>
          <w:b/>
          <w:strike/>
          <w:sz w:val="22"/>
          <w:szCs w:val="22"/>
          <w:highlight w:val="yellow"/>
        </w:rPr>
        <w:t>A.37</w:t>
      </w:r>
      <w:r>
        <w:rPr>
          <w:b/>
          <w:sz w:val="22"/>
          <w:szCs w:val="22"/>
          <w:highlight w:val="yellow"/>
          <w:u w:val="double"/>
        </w:rPr>
        <w:t>A.40</w:t>
      </w:r>
      <w:r w:rsidRPr="00C73FF4">
        <w:rPr>
          <w:sz w:val="22"/>
          <w:szCs w:val="22"/>
        </w:rPr>
        <w:t>).  [Rule 62-297.310(</w:t>
      </w:r>
      <w:r w:rsidRPr="00C73FF4">
        <w:rPr>
          <w:strike/>
          <w:sz w:val="22"/>
          <w:szCs w:val="22"/>
          <w:highlight w:val="yellow"/>
        </w:rPr>
        <w:t>7</w:t>
      </w:r>
      <w:r w:rsidRPr="00C73FF4">
        <w:rPr>
          <w:sz w:val="22"/>
          <w:szCs w:val="22"/>
          <w:highlight w:val="yellow"/>
          <w:u w:val="double"/>
        </w:rPr>
        <w:t>8</w:t>
      </w:r>
      <w:r w:rsidRPr="00C73FF4">
        <w:rPr>
          <w:sz w:val="22"/>
          <w:szCs w:val="22"/>
        </w:rPr>
        <w:t>)(</w:t>
      </w:r>
      <w:r w:rsidRPr="00C73FF4">
        <w:rPr>
          <w:strike/>
          <w:sz w:val="22"/>
          <w:szCs w:val="22"/>
          <w:highlight w:val="yellow"/>
        </w:rPr>
        <w:t>a</w:t>
      </w:r>
      <w:r w:rsidRPr="00C73FF4">
        <w:rPr>
          <w:sz w:val="22"/>
          <w:szCs w:val="22"/>
          <w:highlight w:val="yellow"/>
          <w:u w:val="double"/>
        </w:rPr>
        <w:t>b</w:t>
      </w:r>
      <w:r w:rsidRPr="00C73FF4">
        <w:rPr>
          <w:sz w:val="22"/>
          <w:szCs w:val="22"/>
        </w:rPr>
        <w:t>)</w:t>
      </w:r>
      <w:r w:rsidRPr="00C73FF4">
        <w:rPr>
          <w:strike/>
          <w:sz w:val="22"/>
          <w:szCs w:val="22"/>
          <w:highlight w:val="yellow"/>
        </w:rPr>
        <w:t>3.</w:t>
      </w:r>
      <w:r w:rsidRPr="00C73FF4">
        <w:rPr>
          <w:sz w:val="22"/>
          <w:szCs w:val="22"/>
        </w:rPr>
        <w:t>, F.A.C.]</w:t>
      </w:r>
    </w:p>
    <w:p w:rsidR="00C73FF4" w:rsidRDefault="00C73FF4" w:rsidP="00CB423F">
      <w:pPr>
        <w:pStyle w:val="ListParagraph"/>
        <w:numPr>
          <w:ilvl w:val="0"/>
          <w:numId w:val="1"/>
        </w:numPr>
        <w:tabs>
          <w:tab w:val="left" w:pos="360"/>
        </w:tabs>
        <w:spacing w:after="120"/>
        <w:contextualSpacing w:val="0"/>
        <w:rPr>
          <w:sz w:val="22"/>
          <w:szCs w:val="22"/>
        </w:rPr>
      </w:pPr>
      <w:r>
        <w:rPr>
          <w:sz w:val="22"/>
          <w:szCs w:val="22"/>
        </w:rPr>
        <w:t xml:space="preserve">The obsolete Rule 62-297.401, F.A.C. has been removed from the citation under Specific Condition </w:t>
      </w:r>
      <w:r>
        <w:rPr>
          <w:b/>
          <w:sz w:val="22"/>
          <w:szCs w:val="22"/>
        </w:rPr>
        <w:t>A.40</w:t>
      </w:r>
      <w:r>
        <w:rPr>
          <w:sz w:val="22"/>
          <w:szCs w:val="22"/>
        </w:rPr>
        <w:t xml:space="preserve"> (formerly </w:t>
      </w:r>
      <w:r>
        <w:rPr>
          <w:b/>
          <w:sz w:val="22"/>
          <w:szCs w:val="22"/>
        </w:rPr>
        <w:t>A.37</w:t>
      </w:r>
      <w:r>
        <w:rPr>
          <w:sz w:val="22"/>
          <w:szCs w:val="22"/>
        </w:rPr>
        <w:t xml:space="preserve"> of Permit No. 0850001-040-AV).  </w:t>
      </w:r>
    </w:p>
    <w:p w:rsidR="00C73FF4" w:rsidRDefault="00C73FF4" w:rsidP="00CB423F">
      <w:pPr>
        <w:pStyle w:val="ListParagraph"/>
        <w:numPr>
          <w:ilvl w:val="0"/>
          <w:numId w:val="1"/>
        </w:numPr>
        <w:tabs>
          <w:tab w:val="left" w:pos="360"/>
        </w:tabs>
        <w:spacing w:after="120"/>
        <w:contextualSpacing w:val="0"/>
        <w:rPr>
          <w:sz w:val="22"/>
          <w:szCs w:val="22"/>
        </w:rPr>
      </w:pPr>
      <w:r>
        <w:rPr>
          <w:sz w:val="22"/>
          <w:szCs w:val="22"/>
        </w:rPr>
        <w:t xml:space="preserve">Minor corrections and clarifications were made to Specific Condition </w:t>
      </w:r>
      <w:r>
        <w:rPr>
          <w:b/>
          <w:sz w:val="22"/>
          <w:szCs w:val="22"/>
        </w:rPr>
        <w:t>A.45</w:t>
      </w:r>
      <w:r>
        <w:rPr>
          <w:sz w:val="22"/>
          <w:szCs w:val="22"/>
        </w:rPr>
        <w:t xml:space="preserve"> (formerly </w:t>
      </w:r>
      <w:r>
        <w:rPr>
          <w:b/>
          <w:sz w:val="22"/>
          <w:szCs w:val="22"/>
        </w:rPr>
        <w:t>A.42</w:t>
      </w:r>
      <w:r>
        <w:rPr>
          <w:sz w:val="22"/>
          <w:szCs w:val="22"/>
        </w:rPr>
        <w:t xml:space="preserve"> of Permit No. 0850001-040-AV), which appears as follows:</w:t>
      </w:r>
    </w:p>
    <w:p w:rsidR="00C73FF4" w:rsidRDefault="00C73FF4" w:rsidP="00CB423F">
      <w:pPr>
        <w:pStyle w:val="ListParagraph"/>
        <w:numPr>
          <w:ilvl w:val="0"/>
          <w:numId w:val="14"/>
        </w:numPr>
        <w:tabs>
          <w:tab w:val="left" w:pos="1080"/>
        </w:tabs>
        <w:ind w:left="720"/>
        <w:contextualSpacing w:val="0"/>
        <w:rPr>
          <w:sz w:val="22"/>
          <w:szCs w:val="22"/>
        </w:rPr>
      </w:pPr>
      <w:r>
        <w:rPr>
          <w:sz w:val="22"/>
          <w:szCs w:val="22"/>
          <w:u w:val="single"/>
        </w:rPr>
        <w:t>Compliance</w:t>
      </w:r>
      <w:r>
        <w:rPr>
          <w:sz w:val="22"/>
          <w:szCs w:val="22"/>
        </w:rPr>
        <w:t>.</w:t>
      </w:r>
    </w:p>
    <w:p w:rsidR="00C73FF4" w:rsidRDefault="00C73FF4" w:rsidP="00CB423F">
      <w:pPr>
        <w:pStyle w:val="ListParagraph"/>
        <w:numPr>
          <w:ilvl w:val="0"/>
          <w:numId w:val="15"/>
        </w:numPr>
        <w:tabs>
          <w:tab w:val="left" w:pos="1080"/>
        </w:tabs>
        <w:contextualSpacing w:val="0"/>
        <w:rPr>
          <w:sz w:val="22"/>
          <w:szCs w:val="22"/>
        </w:rPr>
      </w:pPr>
      <w:r w:rsidRPr="00C73FF4">
        <w:rPr>
          <w:sz w:val="22"/>
          <w:szCs w:val="22"/>
        </w:rPr>
        <w:t xml:space="preserve">The </w:t>
      </w:r>
      <w:r w:rsidRPr="00C73FF4">
        <w:rPr>
          <w:strike/>
          <w:sz w:val="22"/>
          <w:szCs w:val="22"/>
          <w:highlight w:val="yellow"/>
        </w:rPr>
        <w:t>owner or operator</w:t>
      </w:r>
      <w:r w:rsidRPr="00C73FF4">
        <w:rPr>
          <w:sz w:val="22"/>
          <w:szCs w:val="22"/>
        </w:rPr>
        <w:t xml:space="preserve"> </w:t>
      </w:r>
      <w:r w:rsidRPr="00C73FF4">
        <w:rPr>
          <w:sz w:val="22"/>
          <w:szCs w:val="22"/>
          <w:highlight w:val="yellow"/>
          <w:u w:val="double"/>
        </w:rPr>
        <w:t>permittee</w:t>
      </w:r>
      <w:r w:rsidRPr="00C73FF4">
        <w:rPr>
          <w:sz w:val="22"/>
          <w:szCs w:val="22"/>
        </w:rPr>
        <w:t xml:space="preserve"> shall determine compliance with the particulate matter, SO</w:t>
      </w:r>
      <w:r w:rsidRPr="00C73FF4">
        <w:rPr>
          <w:sz w:val="22"/>
          <w:szCs w:val="22"/>
          <w:vertAlign w:val="subscript"/>
        </w:rPr>
        <w:t>2</w:t>
      </w:r>
      <w:r w:rsidRPr="00C73FF4">
        <w:rPr>
          <w:sz w:val="22"/>
          <w:szCs w:val="22"/>
        </w:rPr>
        <w:t>, and NO</w:t>
      </w:r>
      <w:r w:rsidRPr="00C73FF4">
        <w:rPr>
          <w:sz w:val="22"/>
          <w:szCs w:val="22"/>
          <w:vertAlign w:val="subscript"/>
        </w:rPr>
        <w:t>X</w:t>
      </w:r>
      <w:r w:rsidRPr="00C73FF4">
        <w:rPr>
          <w:sz w:val="22"/>
          <w:szCs w:val="22"/>
        </w:rPr>
        <w:t xml:space="preserve"> standards in 40 CFR 60.42, 60.43, and 60.44 as follows:</w:t>
      </w:r>
    </w:p>
    <w:p w:rsidR="00C73FF4" w:rsidRPr="00C73FF4" w:rsidRDefault="00C73FF4" w:rsidP="00CB423F">
      <w:pPr>
        <w:widowControl w:val="0"/>
        <w:numPr>
          <w:ilvl w:val="0"/>
          <w:numId w:val="16"/>
        </w:numPr>
        <w:tabs>
          <w:tab w:val="left" w:pos="360"/>
          <w:tab w:val="left" w:pos="720"/>
          <w:tab w:val="left" w:pos="1440"/>
          <w:tab w:val="right" w:pos="10080"/>
        </w:tabs>
        <w:spacing w:after="60"/>
        <w:ind w:left="1440"/>
        <w:rPr>
          <w:sz w:val="22"/>
        </w:rPr>
      </w:pPr>
      <w:r w:rsidRPr="00C73FF4">
        <w:rPr>
          <w:sz w:val="22"/>
          <w:szCs w:val="22"/>
        </w:rPr>
        <w:t>The emission rate (E) of particulate matter, SO</w:t>
      </w:r>
      <w:r w:rsidRPr="00C73FF4">
        <w:rPr>
          <w:sz w:val="22"/>
          <w:szCs w:val="22"/>
          <w:vertAlign w:val="subscript"/>
        </w:rPr>
        <w:t>2</w:t>
      </w:r>
      <w:r w:rsidRPr="00C73FF4">
        <w:rPr>
          <w:sz w:val="22"/>
          <w:szCs w:val="22"/>
        </w:rPr>
        <w:t>, or NO</w:t>
      </w:r>
      <w:r w:rsidRPr="00C73FF4">
        <w:rPr>
          <w:sz w:val="22"/>
          <w:szCs w:val="22"/>
          <w:vertAlign w:val="subscript"/>
        </w:rPr>
        <w:t>X</w:t>
      </w:r>
      <w:r w:rsidRPr="00C73FF4">
        <w:rPr>
          <w:sz w:val="22"/>
          <w:szCs w:val="22"/>
        </w:rPr>
        <w:t xml:space="preserve"> shall be computed for each run using the following equation:</w:t>
      </w:r>
    </w:p>
    <w:p w:rsidR="00C73FF4" w:rsidRPr="00C73FF4" w:rsidRDefault="00C73FF4" w:rsidP="00C73FF4">
      <w:pPr>
        <w:widowControl w:val="0"/>
        <w:tabs>
          <w:tab w:val="left" w:pos="360"/>
          <w:tab w:val="left" w:pos="720"/>
          <w:tab w:val="left" w:pos="1440"/>
          <w:tab w:val="right" w:pos="10080"/>
        </w:tabs>
        <w:spacing w:after="60"/>
        <w:ind w:left="1440"/>
        <w:contextualSpacing/>
        <w:rPr>
          <w:sz w:val="22"/>
        </w:rPr>
      </w:pPr>
      <m:oMath>
        <m:r>
          <w:rPr>
            <w:rFonts w:ascii="Cambria Math" w:hAnsi="Cambria Math"/>
            <w:sz w:val="22"/>
          </w:rPr>
          <m:t>E=C</m:t>
        </m:r>
        <m:sSub>
          <m:sSubPr>
            <m:ctrlPr>
              <w:rPr>
                <w:rFonts w:ascii="Cambria Math" w:hAnsi="Cambria Math"/>
                <w:i/>
                <w:sz w:val="22"/>
              </w:rPr>
            </m:ctrlPr>
          </m:sSubPr>
          <m:e>
            <m:r>
              <w:rPr>
                <w:rFonts w:ascii="Cambria Math" w:hAnsi="Cambria Math"/>
                <w:sz w:val="22"/>
              </w:rPr>
              <m:t>F</m:t>
            </m:r>
          </m:e>
          <m:sub>
            <m:r>
              <w:rPr>
                <w:rFonts w:ascii="Cambria Math" w:hAnsi="Cambria Math"/>
                <w:sz w:val="22"/>
              </w:rPr>
              <m:t>d</m:t>
            </m:r>
          </m:sub>
        </m:sSub>
        <m:d>
          <m:dPr>
            <m:ctrlPr>
              <w:rPr>
                <w:rFonts w:ascii="Cambria Math" w:hAnsi="Cambria Math"/>
                <w:i/>
                <w:sz w:val="22"/>
              </w:rPr>
            </m:ctrlPr>
          </m:dPr>
          <m:e>
            <m:f>
              <m:fPr>
                <m:ctrlPr>
                  <w:rPr>
                    <w:rFonts w:ascii="Cambria Math" w:hAnsi="Cambria Math"/>
                    <w:i/>
                    <w:sz w:val="22"/>
                  </w:rPr>
                </m:ctrlPr>
              </m:fPr>
              <m:num>
                <m:r>
                  <w:rPr>
                    <w:rFonts w:ascii="Cambria Math" w:hAnsi="Cambria Math"/>
                    <w:sz w:val="22"/>
                  </w:rPr>
                  <m:t>20.9</m:t>
                </m:r>
              </m:num>
              <m:den>
                <m:d>
                  <m:dPr>
                    <m:ctrlPr>
                      <w:rPr>
                        <w:rFonts w:ascii="Cambria Math" w:hAnsi="Cambria Math"/>
                        <w:i/>
                        <w:sz w:val="22"/>
                      </w:rPr>
                    </m:ctrlPr>
                  </m:dPr>
                  <m:e>
                    <m:r>
                      <w:rPr>
                        <w:rFonts w:ascii="Cambria Math" w:hAnsi="Cambria Math"/>
                        <w:sz w:val="22"/>
                      </w:rPr>
                      <m:t>20.9-%</m:t>
                    </m:r>
                    <m:sSub>
                      <m:sSubPr>
                        <m:ctrlPr>
                          <w:rPr>
                            <w:rFonts w:ascii="Cambria Math" w:hAnsi="Cambria Math"/>
                            <w:i/>
                            <w:sz w:val="22"/>
                          </w:rPr>
                        </m:ctrlPr>
                      </m:sSubPr>
                      <m:e>
                        <m:r>
                          <w:rPr>
                            <w:rFonts w:ascii="Cambria Math" w:hAnsi="Cambria Math"/>
                            <w:sz w:val="22"/>
                          </w:rPr>
                          <m:t>O</m:t>
                        </m:r>
                      </m:e>
                      <m:sub>
                        <m:r>
                          <w:rPr>
                            <w:rFonts w:ascii="Cambria Math" w:hAnsi="Cambria Math"/>
                            <w:sz w:val="22"/>
                          </w:rPr>
                          <m:t>2</m:t>
                        </m:r>
                      </m:sub>
                    </m:sSub>
                  </m:e>
                </m:d>
              </m:den>
            </m:f>
          </m:e>
        </m:d>
      </m:oMath>
      <w:r w:rsidRPr="00C73FF4">
        <w:rPr>
          <w:sz w:val="22"/>
        </w:rPr>
        <w:t xml:space="preserve"> </w:t>
      </w:r>
    </w:p>
    <w:p w:rsidR="00C73FF4" w:rsidRPr="00C73FF4" w:rsidRDefault="00C73FF4" w:rsidP="00C73FF4">
      <w:pPr>
        <w:widowControl w:val="0"/>
        <w:tabs>
          <w:tab w:val="left" w:pos="360"/>
          <w:tab w:val="left" w:pos="720"/>
          <w:tab w:val="left" w:pos="1440"/>
          <w:tab w:val="right" w:pos="10080"/>
        </w:tabs>
        <w:spacing w:after="60"/>
        <w:ind w:left="1440"/>
        <w:contextualSpacing/>
        <w:rPr>
          <w:sz w:val="22"/>
        </w:rPr>
      </w:pPr>
      <w:r w:rsidRPr="00C73FF4">
        <w:rPr>
          <w:sz w:val="22"/>
        </w:rPr>
        <w:t>Where:</w:t>
      </w:r>
    </w:p>
    <w:p w:rsidR="00C73FF4" w:rsidRPr="00C73FF4" w:rsidRDefault="00C73FF4" w:rsidP="00C73FF4">
      <w:pPr>
        <w:widowControl w:val="0"/>
        <w:tabs>
          <w:tab w:val="left" w:pos="360"/>
          <w:tab w:val="left" w:pos="720"/>
          <w:tab w:val="left" w:pos="1440"/>
          <w:tab w:val="right" w:pos="10080"/>
        </w:tabs>
        <w:spacing w:after="60"/>
        <w:ind w:left="1440"/>
        <w:contextualSpacing/>
        <w:rPr>
          <w:sz w:val="22"/>
          <w:szCs w:val="22"/>
        </w:rPr>
      </w:pPr>
      <w:r w:rsidRPr="00C73FF4">
        <w:rPr>
          <w:sz w:val="22"/>
        </w:rPr>
        <w:t>E = E</w:t>
      </w:r>
      <w:r w:rsidRPr="00C73FF4">
        <w:rPr>
          <w:sz w:val="22"/>
          <w:szCs w:val="22"/>
        </w:rPr>
        <w:t>mission rate of pollutant, ng/J (1b/million Btu).</w:t>
      </w:r>
    </w:p>
    <w:p w:rsidR="00C73FF4" w:rsidRPr="00C73FF4" w:rsidRDefault="00C73FF4" w:rsidP="00C73FF4">
      <w:pPr>
        <w:widowControl w:val="0"/>
        <w:tabs>
          <w:tab w:val="left" w:pos="360"/>
          <w:tab w:val="left" w:pos="720"/>
          <w:tab w:val="left" w:pos="1440"/>
          <w:tab w:val="right" w:pos="10080"/>
        </w:tabs>
        <w:spacing w:after="60"/>
        <w:ind w:left="1440"/>
        <w:contextualSpacing/>
        <w:rPr>
          <w:sz w:val="22"/>
        </w:rPr>
      </w:pPr>
      <w:r w:rsidRPr="00C73FF4">
        <w:rPr>
          <w:sz w:val="22"/>
        </w:rPr>
        <w:t>C = Concentration of pollutant, ng/dscm (1 lb/dscf).</w:t>
      </w:r>
    </w:p>
    <w:p w:rsidR="00C73FF4" w:rsidRPr="00C73FF4" w:rsidRDefault="00C73FF4" w:rsidP="00C73FF4">
      <w:pPr>
        <w:widowControl w:val="0"/>
        <w:tabs>
          <w:tab w:val="left" w:pos="360"/>
          <w:tab w:val="left" w:pos="720"/>
          <w:tab w:val="left" w:pos="1440"/>
          <w:tab w:val="right" w:pos="10080"/>
        </w:tabs>
        <w:spacing w:after="60"/>
        <w:ind w:left="1440"/>
        <w:contextualSpacing/>
        <w:rPr>
          <w:sz w:val="22"/>
        </w:rPr>
      </w:pPr>
      <w:r w:rsidRPr="00C73FF4">
        <w:rPr>
          <w:sz w:val="22"/>
        </w:rPr>
        <w:t>%O</w:t>
      </w:r>
      <w:r w:rsidRPr="00C73FF4">
        <w:rPr>
          <w:sz w:val="22"/>
          <w:vertAlign w:val="subscript"/>
        </w:rPr>
        <w:t>2</w:t>
      </w:r>
      <w:r w:rsidRPr="00C73FF4">
        <w:rPr>
          <w:sz w:val="22"/>
        </w:rPr>
        <w:t xml:space="preserve"> = </w:t>
      </w:r>
      <w:r w:rsidRPr="00C73FF4">
        <w:rPr>
          <w:strike/>
          <w:sz w:val="22"/>
          <w:highlight w:val="yellow"/>
        </w:rPr>
        <w:t>Oxygen</w:t>
      </w:r>
      <w:r w:rsidRPr="00C73FF4">
        <w:rPr>
          <w:sz w:val="22"/>
        </w:rPr>
        <w:t xml:space="preserve"> </w:t>
      </w:r>
      <w:r w:rsidRPr="00C73FF4">
        <w:rPr>
          <w:sz w:val="22"/>
          <w:highlight w:val="yellow"/>
          <w:u w:val="double"/>
        </w:rPr>
        <w:t>O</w:t>
      </w:r>
      <w:r w:rsidRPr="00C73FF4">
        <w:rPr>
          <w:sz w:val="22"/>
          <w:highlight w:val="yellow"/>
          <w:u w:val="double"/>
          <w:vertAlign w:val="subscript"/>
        </w:rPr>
        <w:t>2</w:t>
      </w:r>
      <w:r w:rsidRPr="00C73FF4">
        <w:rPr>
          <w:sz w:val="22"/>
        </w:rPr>
        <w:t xml:space="preserve"> concentration, percent dry basis.</w:t>
      </w:r>
    </w:p>
    <w:p w:rsidR="00C73FF4" w:rsidRPr="00C73FF4" w:rsidRDefault="00C73FF4" w:rsidP="00C73FF4">
      <w:pPr>
        <w:widowControl w:val="0"/>
        <w:tabs>
          <w:tab w:val="left" w:pos="360"/>
          <w:tab w:val="left" w:pos="720"/>
          <w:tab w:val="left" w:pos="1440"/>
          <w:tab w:val="right" w:pos="10080"/>
        </w:tabs>
        <w:spacing w:after="60"/>
        <w:ind w:left="1440"/>
        <w:contextualSpacing/>
        <w:rPr>
          <w:sz w:val="22"/>
          <w:szCs w:val="22"/>
        </w:rPr>
      </w:pPr>
      <w:r w:rsidRPr="00C73FF4">
        <w:rPr>
          <w:sz w:val="22"/>
        </w:rPr>
        <w:t>F</w:t>
      </w:r>
      <w:r w:rsidRPr="00C73FF4">
        <w:rPr>
          <w:sz w:val="22"/>
          <w:vertAlign w:val="subscript"/>
        </w:rPr>
        <w:t>d</w:t>
      </w:r>
      <w:r w:rsidRPr="00C73FF4">
        <w:rPr>
          <w:sz w:val="22"/>
        </w:rPr>
        <w:t xml:space="preserve"> = </w:t>
      </w:r>
      <w:r w:rsidRPr="00C73FF4">
        <w:rPr>
          <w:sz w:val="22"/>
          <w:szCs w:val="22"/>
        </w:rPr>
        <w:t xml:space="preserve">factor as determined from Method 19 </w:t>
      </w:r>
      <w:r w:rsidRPr="00C73FF4">
        <w:rPr>
          <w:sz w:val="22"/>
          <w:szCs w:val="22"/>
          <w:highlight w:val="yellow"/>
          <w:u w:val="double"/>
        </w:rPr>
        <w:t>of appendix A of 40 CFR 60</w:t>
      </w:r>
      <w:r w:rsidRPr="00C73FF4">
        <w:rPr>
          <w:sz w:val="22"/>
          <w:szCs w:val="22"/>
        </w:rPr>
        <w:t>.</w:t>
      </w:r>
    </w:p>
    <w:p w:rsidR="00C73FF4" w:rsidRPr="00C73FF4" w:rsidRDefault="00C73FF4" w:rsidP="00CB423F">
      <w:pPr>
        <w:widowControl w:val="0"/>
        <w:numPr>
          <w:ilvl w:val="0"/>
          <w:numId w:val="16"/>
        </w:numPr>
        <w:tabs>
          <w:tab w:val="left" w:pos="360"/>
          <w:tab w:val="left" w:pos="720"/>
          <w:tab w:val="left" w:pos="1440"/>
          <w:tab w:val="right" w:pos="10080"/>
        </w:tabs>
        <w:ind w:left="1440"/>
        <w:rPr>
          <w:sz w:val="22"/>
        </w:rPr>
      </w:pPr>
      <w:r w:rsidRPr="00C73FF4">
        <w:rPr>
          <w:sz w:val="22"/>
          <w:szCs w:val="22"/>
        </w:rPr>
        <w:t xml:space="preserve">Method 5 </w:t>
      </w:r>
      <w:r w:rsidRPr="00C73FF4">
        <w:rPr>
          <w:sz w:val="22"/>
          <w:szCs w:val="22"/>
          <w:highlight w:val="yellow"/>
          <w:u w:val="double"/>
        </w:rPr>
        <w:t>of appendix A of 40 CFR 60</w:t>
      </w:r>
      <w:r w:rsidRPr="00C73FF4">
        <w:rPr>
          <w:sz w:val="22"/>
          <w:szCs w:val="22"/>
        </w:rPr>
        <w:t xml:space="preserve"> shall be used to determine the </w:t>
      </w:r>
      <w:r w:rsidRPr="00C73FF4">
        <w:rPr>
          <w:strike/>
          <w:sz w:val="22"/>
          <w:szCs w:val="22"/>
          <w:highlight w:val="yellow"/>
        </w:rPr>
        <w:t>particular matter</w:t>
      </w:r>
      <w:r w:rsidRPr="00C73FF4">
        <w:rPr>
          <w:sz w:val="22"/>
          <w:szCs w:val="22"/>
        </w:rPr>
        <w:t xml:space="preserve"> </w:t>
      </w:r>
      <w:r w:rsidRPr="00C73FF4">
        <w:rPr>
          <w:sz w:val="22"/>
          <w:szCs w:val="22"/>
          <w:highlight w:val="yellow"/>
          <w:u w:val="double"/>
        </w:rPr>
        <w:t>(PM)</w:t>
      </w:r>
      <w:r w:rsidRPr="00C73FF4">
        <w:rPr>
          <w:sz w:val="22"/>
          <w:szCs w:val="22"/>
        </w:rPr>
        <w:t xml:space="preserve"> concentration (C) at affected facilities without wet flue-gas-desulfurization (FGD) systems and Method 5B </w:t>
      </w:r>
      <w:r w:rsidRPr="00C73FF4">
        <w:rPr>
          <w:sz w:val="22"/>
          <w:szCs w:val="22"/>
          <w:highlight w:val="yellow"/>
          <w:u w:val="double"/>
        </w:rPr>
        <w:t>of appendix A of 40 CFR 60</w:t>
      </w:r>
      <w:r w:rsidRPr="00C73FF4">
        <w:rPr>
          <w:sz w:val="22"/>
          <w:szCs w:val="22"/>
        </w:rPr>
        <w:t xml:space="preserve"> shall be used to determine the </w:t>
      </w:r>
      <w:r w:rsidRPr="00C73FF4">
        <w:rPr>
          <w:strike/>
          <w:sz w:val="22"/>
          <w:szCs w:val="22"/>
          <w:highlight w:val="yellow"/>
        </w:rPr>
        <w:t>particular matter</w:t>
      </w:r>
      <w:r w:rsidRPr="00C73FF4">
        <w:rPr>
          <w:sz w:val="22"/>
          <w:szCs w:val="22"/>
        </w:rPr>
        <w:t xml:space="preserve"> </w:t>
      </w:r>
      <w:r w:rsidRPr="00C73FF4">
        <w:rPr>
          <w:sz w:val="22"/>
          <w:szCs w:val="22"/>
          <w:highlight w:val="yellow"/>
          <w:u w:val="double"/>
        </w:rPr>
        <w:t xml:space="preserve">(PM) </w:t>
      </w:r>
      <w:r w:rsidRPr="00C73FF4">
        <w:rPr>
          <w:sz w:val="22"/>
          <w:szCs w:val="22"/>
        </w:rPr>
        <w:t>concentration (C) after FGD systems.</w:t>
      </w:r>
    </w:p>
    <w:p w:rsidR="00C73FF4" w:rsidRPr="00C73FF4" w:rsidRDefault="00C73FF4" w:rsidP="00CB423F">
      <w:pPr>
        <w:widowControl w:val="0"/>
        <w:numPr>
          <w:ilvl w:val="0"/>
          <w:numId w:val="17"/>
        </w:numPr>
        <w:ind w:left="1800"/>
        <w:rPr>
          <w:sz w:val="22"/>
        </w:rPr>
      </w:pPr>
      <w:r w:rsidRPr="00C73FF4">
        <w:rPr>
          <w:sz w:val="22"/>
          <w:szCs w:val="22"/>
        </w:rPr>
        <w:t xml:space="preserve">The sampling time and sample volume for each run shall be at least 60 minutes and 0.85 dscm (30 dscf).  The probe and filter holder heating systems in the sampling train may be set to provide a gas temperature no greater than 160 </w:t>
      </w:r>
      <w:r w:rsidRPr="00C73FF4">
        <w:rPr>
          <w:sz w:val="22"/>
          <w:szCs w:val="22"/>
        </w:rPr>
        <w:fldChar w:fldCharType="begin"/>
      </w:r>
      <w:r w:rsidRPr="00C73FF4">
        <w:rPr>
          <w:sz w:val="22"/>
          <w:szCs w:val="22"/>
        </w:rPr>
        <w:instrText>symbol 177 \f "Symbol" \s 11</w:instrText>
      </w:r>
      <w:r w:rsidRPr="00C73FF4">
        <w:rPr>
          <w:sz w:val="22"/>
          <w:szCs w:val="22"/>
        </w:rPr>
        <w:fldChar w:fldCharType="end"/>
      </w:r>
      <w:r w:rsidRPr="00C73FF4">
        <w:rPr>
          <w:sz w:val="22"/>
          <w:szCs w:val="22"/>
        </w:rPr>
        <w:t xml:space="preserve"> 14⁰C (320 </w:t>
      </w:r>
      <w:r w:rsidRPr="00C73FF4">
        <w:rPr>
          <w:sz w:val="22"/>
          <w:szCs w:val="22"/>
        </w:rPr>
        <w:fldChar w:fldCharType="begin"/>
      </w:r>
      <w:r w:rsidRPr="00C73FF4">
        <w:rPr>
          <w:sz w:val="22"/>
          <w:szCs w:val="22"/>
        </w:rPr>
        <w:instrText>symbol 177 \f "Symbol" \s 11</w:instrText>
      </w:r>
      <w:r w:rsidRPr="00C73FF4">
        <w:rPr>
          <w:sz w:val="22"/>
          <w:szCs w:val="22"/>
        </w:rPr>
        <w:fldChar w:fldCharType="end"/>
      </w:r>
      <w:r w:rsidRPr="00C73FF4">
        <w:rPr>
          <w:sz w:val="22"/>
          <w:szCs w:val="22"/>
        </w:rPr>
        <w:t xml:space="preserve"> 25⁰F).</w:t>
      </w:r>
    </w:p>
    <w:p w:rsidR="00C73FF4" w:rsidRPr="00C73FF4" w:rsidRDefault="00C73FF4" w:rsidP="00CB423F">
      <w:pPr>
        <w:widowControl w:val="0"/>
        <w:numPr>
          <w:ilvl w:val="0"/>
          <w:numId w:val="17"/>
        </w:numPr>
        <w:ind w:left="1800"/>
        <w:rPr>
          <w:sz w:val="22"/>
        </w:rPr>
      </w:pPr>
      <w:r w:rsidRPr="00C73FF4">
        <w:rPr>
          <w:sz w:val="22"/>
          <w:szCs w:val="22"/>
        </w:rPr>
        <w:t>The emission rate correction factor, integrated or grab sampling and analysis procedure of Method 3B shall be used to determine the O</w:t>
      </w:r>
      <w:r w:rsidRPr="00C73FF4">
        <w:rPr>
          <w:sz w:val="22"/>
          <w:szCs w:val="22"/>
          <w:vertAlign w:val="subscript"/>
        </w:rPr>
        <w:t>2</w:t>
      </w:r>
      <w:r w:rsidRPr="00C73FF4">
        <w:rPr>
          <w:sz w:val="22"/>
          <w:szCs w:val="22"/>
        </w:rPr>
        <w:t xml:space="preserve"> concentration (%O</w:t>
      </w:r>
      <w:r w:rsidRPr="00C73FF4">
        <w:rPr>
          <w:sz w:val="22"/>
          <w:szCs w:val="22"/>
          <w:vertAlign w:val="subscript"/>
        </w:rPr>
        <w:t>2</w:t>
      </w:r>
      <w:r w:rsidRPr="00C73FF4">
        <w:rPr>
          <w:sz w:val="22"/>
          <w:szCs w:val="22"/>
        </w:rPr>
        <w:t>).  The O</w:t>
      </w:r>
      <w:r w:rsidRPr="00C73FF4">
        <w:rPr>
          <w:sz w:val="22"/>
          <w:szCs w:val="22"/>
          <w:vertAlign w:val="subscript"/>
        </w:rPr>
        <w:t>2</w:t>
      </w:r>
      <w:r w:rsidRPr="00C73FF4">
        <w:rPr>
          <w:sz w:val="22"/>
          <w:szCs w:val="22"/>
        </w:rPr>
        <w:t xml:space="preserve"> sample shall be obtained simultaneously with, and at the same traverse points as, the particulate sample.  If the grab sampling procedure is used, the O</w:t>
      </w:r>
      <w:r w:rsidRPr="00C73FF4">
        <w:rPr>
          <w:sz w:val="22"/>
          <w:szCs w:val="22"/>
          <w:vertAlign w:val="subscript"/>
        </w:rPr>
        <w:t xml:space="preserve">2 </w:t>
      </w:r>
      <w:r w:rsidRPr="00C73FF4">
        <w:rPr>
          <w:sz w:val="22"/>
          <w:szCs w:val="22"/>
        </w:rPr>
        <w:t xml:space="preserve">concentration for the run shall be the arithmetic mean of all the </w:t>
      </w:r>
      <w:r w:rsidRPr="00C73FF4">
        <w:rPr>
          <w:strike/>
          <w:sz w:val="22"/>
          <w:szCs w:val="22"/>
          <w:highlight w:val="yellow"/>
        </w:rPr>
        <w:t>individual</w:t>
      </w:r>
      <w:r w:rsidRPr="00C73FF4">
        <w:rPr>
          <w:sz w:val="22"/>
          <w:szCs w:val="22"/>
        </w:rPr>
        <w:t xml:space="preserve"> </w:t>
      </w:r>
      <w:r w:rsidRPr="00C73FF4">
        <w:rPr>
          <w:sz w:val="22"/>
          <w:szCs w:val="22"/>
          <w:highlight w:val="yellow"/>
          <w:u w:val="double"/>
        </w:rPr>
        <w:t>sample</w:t>
      </w:r>
      <w:r w:rsidRPr="00C73FF4">
        <w:rPr>
          <w:sz w:val="22"/>
          <w:szCs w:val="22"/>
        </w:rPr>
        <w:t xml:space="preserve"> O</w:t>
      </w:r>
      <w:r w:rsidRPr="00C73FF4">
        <w:rPr>
          <w:sz w:val="22"/>
          <w:szCs w:val="22"/>
          <w:vertAlign w:val="subscript"/>
        </w:rPr>
        <w:t>2</w:t>
      </w:r>
      <w:r w:rsidRPr="00C73FF4">
        <w:rPr>
          <w:sz w:val="22"/>
          <w:szCs w:val="22"/>
        </w:rPr>
        <w:t xml:space="preserve"> </w:t>
      </w:r>
      <w:r w:rsidRPr="00C73FF4">
        <w:rPr>
          <w:strike/>
          <w:sz w:val="22"/>
          <w:szCs w:val="22"/>
          <w:highlight w:val="yellow"/>
        </w:rPr>
        <w:t>sample</w:t>
      </w:r>
      <w:r w:rsidRPr="00C73FF4">
        <w:rPr>
          <w:sz w:val="22"/>
          <w:szCs w:val="22"/>
        </w:rPr>
        <w:t xml:space="preserve"> concentrations at </w:t>
      </w:r>
      <w:r w:rsidRPr="00C73FF4">
        <w:rPr>
          <w:strike/>
          <w:sz w:val="22"/>
          <w:szCs w:val="22"/>
          <w:highlight w:val="yellow"/>
        </w:rPr>
        <w:t>each</w:t>
      </w:r>
      <w:r w:rsidRPr="00C73FF4">
        <w:rPr>
          <w:sz w:val="22"/>
          <w:szCs w:val="22"/>
        </w:rPr>
        <w:t xml:space="preserve"> </w:t>
      </w:r>
      <w:r w:rsidRPr="00C73FF4">
        <w:rPr>
          <w:sz w:val="22"/>
          <w:szCs w:val="22"/>
          <w:highlight w:val="yellow"/>
          <w:u w:val="double"/>
        </w:rPr>
        <w:t>all</w:t>
      </w:r>
      <w:r w:rsidRPr="00C73FF4">
        <w:rPr>
          <w:sz w:val="22"/>
          <w:szCs w:val="22"/>
        </w:rPr>
        <w:t xml:space="preserve"> traverse point</w:t>
      </w:r>
      <w:r w:rsidRPr="00C73FF4">
        <w:rPr>
          <w:sz w:val="22"/>
          <w:szCs w:val="22"/>
          <w:highlight w:val="yellow"/>
          <w:u w:val="double"/>
        </w:rPr>
        <w:t>s</w:t>
      </w:r>
      <w:r w:rsidRPr="00C73FF4">
        <w:rPr>
          <w:sz w:val="22"/>
          <w:szCs w:val="22"/>
        </w:rPr>
        <w:t>.</w:t>
      </w:r>
    </w:p>
    <w:p w:rsidR="00C73FF4" w:rsidRPr="00C73FF4" w:rsidRDefault="00C73FF4" w:rsidP="00CB423F">
      <w:pPr>
        <w:widowControl w:val="0"/>
        <w:numPr>
          <w:ilvl w:val="0"/>
          <w:numId w:val="17"/>
        </w:numPr>
        <w:ind w:left="1800"/>
        <w:rPr>
          <w:sz w:val="22"/>
        </w:rPr>
      </w:pPr>
      <w:r w:rsidRPr="00C73FF4">
        <w:rPr>
          <w:sz w:val="22"/>
          <w:szCs w:val="22"/>
        </w:rPr>
        <w:t>If the particulate run has more than 12 traverse points, the O</w:t>
      </w:r>
      <w:r w:rsidRPr="00C73FF4">
        <w:rPr>
          <w:sz w:val="22"/>
          <w:szCs w:val="22"/>
          <w:vertAlign w:val="subscript"/>
        </w:rPr>
        <w:t>2</w:t>
      </w:r>
      <w:r w:rsidRPr="00C73FF4">
        <w:rPr>
          <w:sz w:val="22"/>
          <w:szCs w:val="22"/>
        </w:rPr>
        <w:t xml:space="preserve"> traverse points may be reduced to 12 provided that Method 1 is used to locate the 12 O</w:t>
      </w:r>
      <w:r w:rsidRPr="00C73FF4">
        <w:rPr>
          <w:sz w:val="22"/>
          <w:szCs w:val="22"/>
          <w:vertAlign w:val="subscript"/>
        </w:rPr>
        <w:t>2</w:t>
      </w:r>
      <w:r w:rsidRPr="00C73FF4">
        <w:rPr>
          <w:sz w:val="22"/>
          <w:szCs w:val="22"/>
        </w:rPr>
        <w:t xml:space="preserve"> traverse points.</w:t>
      </w:r>
    </w:p>
    <w:p w:rsidR="00C73FF4" w:rsidRPr="00C73FF4" w:rsidRDefault="00C73FF4" w:rsidP="00CB423F">
      <w:pPr>
        <w:widowControl w:val="0"/>
        <w:numPr>
          <w:ilvl w:val="0"/>
          <w:numId w:val="16"/>
        </w:numPr>
        <w:tabs>
          <w:tab w:val="left" w:pos="360"/>
          <w:tab w:val="left" w:pos="720"/>
          <w:tab w:val="left" w:pos="1440"/>
          <w:tab w:val="right" w:pos="10080"/>
        </w:tabs>
        <w:ind w:left="1440"/>
        <w:rPr>
          <w:sz w:val="22"/>
          <w:szCs w:val="22"/>
        </w:rPr>
      </w:pPr>
      <w:r w:rsidRPr="00C73FF4">
        <w:rPr>
          <w:sz w:val="22"/>
          <w:szCs w:val="22"/>
        </w:rPr>
        <w:t xml:space="preserve">Method 9 </w:t>
      </w:r>
      <w:r w:rsidRPr="00C73FF4">
        <w:rPr>
          <w:sz w:val="22"/>
          <w:szCs w:val="22"/>
          <w:highlight w:val="yellow"/>
          <w:u w:val="double"/>
        </w:rPr>
        <w:t>of appendix A of 40 CFR 60</w:t>
      </w:r>
      <w:r w:rsidRPr="00C73FF4">
        <w:rPr>
          <w:sz w:val="22"/>
          <w:szCs w:val="22"/>
        </w:rPr>
        <w:t xml:space="preserve"> and the procedures in 40 CFR 60.11 shall be used to determine opacity.</w:t>
      </w:r>
    </w:p>
    <w:p w:rsidR="00C73FF4" w:rsidRPr="00C73FF4" w:rsidRDefault="00C73FF4" w:rsidP="00CB423F">
      <w:pPr>
        <w:widowControl w:val="0"/>
        <w:numPr>
          <w:ilvl w:val="0"/>
          <w:numId w:val="16"/>
        </w:numPr>
        <w:tabs>
          <w:tab w:val="left" w:pos="360"/>
          <w:tab w:val="left" w:pos="720"/>
          <w:tab w:val="left" w:pos="1440"/>
          <w:tab w:val="right" w:pos="10080"/>
        </w:tabs>
        <w:ind w:left="1440"/>
        <w:rPr>
          <w:sz w:val="22"/>
          <w:szCs w:val="22"/>
        </w:rPr>
      </w:pPr>
      <w:r w:rsidRPr="00C73FF4">
        <w:rPr>
          <w:sz w:val="22"/>
          <w:szCs w:val="22"/>
        </w:rPr>
        <w:t xml:space="preserve">Method 6 </w:t>
      </w:r>
      <w:r w:rsidRPr="00C73FF4">
        <w:rPr>
          <w:sz w:val="22"/>
          <w:szCs w:val="22"/>
          <w:highlight w:val="yellow"/>
          <w:u w:val="double"/>
        </w:rPr>
        <w:t>of appendix A of 40 CFR 60</w:t>
      </w:r>
      <w:r w:rsidRPr="00C73FF4">
        <w:rPr>
          <w:sz w:val="22"/>
          <w:szCs w:val="22"/>
        </w:rPr>
        <w:t xml:space="preserve"> shall be used to determine the SO</w:t>
      </w:r>
      <w:r w:rsidRPr="00C73FF4">
        <w:rPr>
          <w:sz w:val="22"/>
          <w:szCs w:val="22"/>
          <w:vertAlign w:val="subscript"/>
        </w:rPr>
        <w:t>2</w:t>
      </w:r>
      <w:r w:rsidRPr="00C73FF4">
        <w:rPr>
          <w:sz w:val="22"/>
          <w:szCs w:val="22"/>
        </w:rPr>
        <w:t xml:space="preserve"> concentration.</w:t>
      </w:r>
    </w:p>
    <w:p w:rsidR="00C73FF4" w:rsidRPr="00C73FF4" w:rsidRDefault="00C73FF4" w:rsidP="00CB423F">
      <w:pPr>
        <w:widowControl w:val="0"/>
        <w:numPr>
          <w:ilvl w:val="0"/>
          <w:numId w:val="18"/>
        </w:numPr>
        <w:ind w:left="1800"/>
        <w:rPr>
          <w:sz w:val="22"/>
        </w:rPr>
      </w:pPr>
      <w:r w:rsidRPr="00C73FF4">
        <w:rPr>
          <w:sz w:val="22"/>
          <w:szCs w:val="22"/>
        </w:rPr>
        <w:t>The sampling site shall be the same as that selected for the particulate sample.  The sampling location in the duct shall be at the centroid of the cross section or at a point no closer to the walls than 1 m (3.28 ft).  The sampling time and sample volume for each sample run shall be at least 20 minutes and 0.020 dscm (0.71 dscf).  Two samples shall be taken during a 1-hour period, with each sample taken within a 30-minute interval.</w:t>
      </w:r>
    </w:p>
    <w:p w:rsidR="00C73FF4" w:rsidRPr="00C73FF4" w:rsidRDefault="00C73FF4" w:rsidP="00CB423F">
      <w:pPr>
        <w:widowControl w:val="0"/>
        <w:numPr>
          <w:ilvl w:val="0"/>
          <w:numId w:val="18"/>
        </w:numPr>
        <w:ind w:left="1800"/>
        <w:rPr>
          <w:sz w:val="22"/>
        </w:rPr>
      </w:pPr>
      <w:r w:rsidRPr="00C73FF4">
        <w:rPr>
          <w:sz w:val="22"/>
          <w:szCs w:val="22"/>
        </w:rPr>
        <w:t>The emission rate correction factor, integrated sampling and analysis procedure of Method 3B shall be used to determine the O</w:t>
      </w:r>
      <w:r w:rsidRPr="00C73FF4">
        <w:rPr>
          <w:sz w:val="22"/>
          <w:szCs w:val="22"/>
          <w:vertAlign w:val="subscript"/>
        </w:rPr>
        <w:t>2</w:t>
      </w:r>
      <w:r w:rsidRPr="00C73FF4">
        <w:rPr>
          <w:sz w:val="22"/>
          <w:szCs w:val="22"/>
        </w:rPr>
        <w:t xml:space="preserve"> concentration (%O</w:t>
      </w:r>
      <w:r w:rsidRPr="00C73FF4">
        <w:rPr>
          <w:sz w:val="22"/>
          <w:szCs w:val="22"/>
          <w:vertAlign w:val="subscript"/>
        </w:rPr>
        <w:t>2</w:t>
      </w:r>
      <w:r w:rsidRPr="00C73FF4">
        <w:rPr>
          <w:sz w:val="22"/>
          <w:szCs w:val="22"/>
        </w:rPr>
        <w:t>).  The O</w:t>
      </w:r>
      <w:r w:rsidRPr="00C73FF4">
        <w:rPr>
          <w:sz w:val="22"/>
          <w:szCs w:val="22"/>
          <w:vertAlign w:val="subscript"/>
        </w:rPr>
        <w:t>2</w:t>
      </w:r>
      <w:r w:rsidRPr="00C73FF4">
        <w:rPr>
          <w:sz w:val="22"/>
          <w:szCs w:val="22"/>
        </w:rPr>
        <w:t xml:space="preserve"> sample shall be taken simultaneously with, and at the same point as, the SO</w:t>
      </w:r>
      <w:r w:rsidRPr="00C73FF4">
        <w:rPr>
          <w:sz w:val="22"/>
          <w:szCs w:val="22"/>
          <w:vertAlign w:val="subscript"/>
        </w:rPr>
        <w:t>2</w:t>
      </w:r>
      <w:r w:rsidRPr="00C73FF4">
        <w:rPr>
          <w:sz w:val="22"/>
          <w:szCs w:val="22"/>
        </w:rPr>
        <w:t xml:space="preserve"> sample.  The SO</w:t>
      </w:r>
      <w:r w:rsidRPr="00C73FF4">
        <w:rPr>
          <w:sz w:val="22"/>
          <w:szCs w:val="22"/>
          <w:vertAlign w:val="subscript"/>
        </w:rPr>
        <w:t>2</w:t>
      </w:r>
      <w:r w:rsidRPr="00C73FF4">
        <w:rPr>
          <w:sz w:val="22"/>
          <w:szCs w:val="22"/>
        </w:rPr>
        <w:t xml:space="preserve"> emission rate shall be computed for each pair of SO</w:t>
      </w:r>
      <w:r w:rsidRPr="00C73FF4">
        <w:rPr>
          <w:sz w:val="22"/>
          <w:szCs w:val="22"/>
          <w:vertAlign w:val="subscript"/>
        </w:rPr>
        <w:t>2</w:t>
      </w:r>
      <w:r w:rsidRPr="00C73FF4">
        <w:rPr>
          <w:sz w:val="22"/>
          <w:szCs w:val="22"/>
        </w:rPr>
        <w:t xml:space="preserve"> and O</w:t>
      </w:r>
      <w:r w:rsidRPr="00C73FF4">
        <w:rPr>
          <w:sz w:val="22"/>
          <w:szCs w:val="22"/>
          <w:vertAlign w:val="subscript"/>
        </w:rPr>
        <w:t>2</w:t>
      </w:r>
      <w:r w:rsidRPr="00C73FF4">
        <w:rPr>
          <w:sz w:val="22"/>
          <w:szCs w:val="22"/>
        </w:rPr>
        <w:t xml:space="preserve"> samples.  The SO</w:t>
      </w:r>
      <w:r w:rsidRPr="00C73FF4">
        <w:rPr>
          <w:sz w:val="22"/>
          <w:szCs w:val="22"/>
          <w:vertAlign w:val="subscript"/>
        </w:rPr>
        <w:t>2</w:t>
      </w:r>
      <w:r w:rsidRPr="00C73FF4">
        <w:rPr>
          <w:sz w:val="22"/>
          <w:szCs w:val="22"/>
        </w:rPr>
        <w:t xml:space="preserve"> emission rate (E) for each run shall be the arithmetic mean of the results of the two pairs of samples.</w:t>
      </w:r>
    </w:p>
    <w:p w:rsidR="00C73FF4" w:rsidRPr="00C73FF4" w:rsidRDefault="00C73FF4" w:rsidP="00CB423F">
      <w:pPr>
        <w:widowControl w:val="0"/>
        <w:numPr>
          <w:ilvl w:val="0"/>
          <w:numId w:val="16"/>
        </w:numPr>
        <w:tabs>
          <w:tab w:val="left" w:pos="360"/>
          <w:tab w:val="left" w:pos="720"/>
          <w:tab w:val="left" w:pos="1440"/>
          <w:tab w:val="right" w:pos="10080"/>
        </w:tabs>
        <w:ind w:left="1440"/>
        <w:rPr>
          <w:sz w:val="22"/>
        </w:rPr>
      </w:pPr>
      <w:r w:rsidRPr="00C73FF4">
        <w:rPr>
          <w:sz w:val="22"/>
          <w:szCs w:val="22"/>
        </w:rPr>
        <w:t>Method 7 shall be used to determine the NO</w:t>
      </w:r>
      <w:r w:rsidRPr="00C73FF4">
        <w:rPr>
          <w:sz w:val="22"/>
          <w:szCs w:val="22"/>
          <w:vertAlign w:val="subscript"/>
        </w:rPr>
        <w:t>X</w:t>
      </w:r>
      <w:r w:rsidRPr="00C73FF4">
        <w:rPr>
          <w:sz w:val="22"/>
          <w:szCs w:val="22"/>
        </w:rPr>
        <w:t xml:space="preserve"> concentration.</w:t>
      </w:r>
    </w:p>
    <w:p w:rsidR="00C73FF4" w:rsidRPr="00C73FF4" w:rsidRDefault="00C73FF4" w:rsidP="00CB423F">
      <w:pPr>
        <w:numPr>
          <w:ilvl w:val="0"/>
          <w:numId w:val="19"/>
        </w:numPr>
        <w:rPr>
          <w:sz w:val="22"/>
          <w:szCs w:val="22"/>
        </w:rPr>
      </w:pPr>
      <w:r w:rsidRPr="00C73FF4">
        <w:rPr>
          <w:sz w:val="22"/>
          <w:szCs w:val="22"/>
        </w:rPr>
        <w:t>The sampling site and location shall be the same as for the SO</w:t>
      </w:r>
      <w:r w:rsidRPr="00C73FF4">
        <w:rPr>
          <w:sz w:val="22"/>
          <w:szCs w:val="22"/>
          <w:vertAlign w:val="subscript"/>
        </w:rPr>
        <w:t>2</w:t>
      </w:r>
      <w:r w:rsidRPr="00C73FF4">
        <w:rPr>
          <w:sz w:val="22"/>
          <w:szCs w:val="22"/>
        </w:rPr>
        <w:t xml:space="preserve"> sample.  Each run shall consist of four grab samples, with each sample taken at about 15-minute intervals.</w:t>
      </w:r>
    </w:p>
    <w:p w:rsidR="00C73FF4" w:rsidRPr="00C73FF4" w:rsidRDefault="00C73FF4" w:rsidP="00CB423F">
      <w:pPr>
        <w:numPr>
          <w:ilvl w:val="0"/>
          <w:numId w:val="19"/>
        </w:numPr>
        <w:rPr>
          <w:sz w:val="22"/>
          <w:szCs w:val="22"/>
        </w:rPr>
      </w:pPr>
      <w:r w:rsidRPr="00C73FF4">
        <w:rPr>
          <w:sz w:val="22"/>
          <w:szCs w:val="22"/>
        </w:rPr>
        <w:t>For each NO</w:t>
      </w:r>
      <w:r w:rsidRPr="00C73FF4">
        <w:rPr>
          <w:sz w:val="22"/>
          <w:szCs w:val="22"/>
          <w:vertAlign w:val="subscript"/>
        </w:rPr>
        <w:t>X</w:t>
      </w:r>
      <w:r w:rsidRPr="00C73FF4">
        <w:rPr>
          <w:sz w:val="22"/>
          <w:szCs w:val="22"/>
        </w:rPr>
        <w:t xml:space="preserve"> sample, the emission rate correction factor, grab sampling and analysis procedure of Method 3B shall be used to determine the O</w:t>
      </w:r>
      <w:r w:rsidRPr="00C73FF4">
        <w:rPr>
          <w:sz w:val="22"/>
          <w:szCs w:val="22"/>
          <w:vertAlign w:val="subscript"/>
        </w:rPr>
        <w:t>2</w:t>
      </w:r>
      <w:r w:rsidRPr="00C73FF4">
        <w:rPr>
          <w:sz w:val="22"/>
          <w:szCs w:val="22"/>
        </w:rPr>
        <w:t xml:space="preserve"> concentration (%O</w:t>
      </w:r>
      <w:r w:rsidRPr="00C73FF4">
        <w:rPr>
          <w:sz w:val="22"/>
          <w:szCs w:val="22"/>
          <w:vertAlign w:val="subscript"/>
        </w:rPr>
        <w:t>2</w:t>
      </w:r>
      <w:r w:rsidRPr="00C73FF4">
        <w:rPr>
          <w:sz w:val="22"/>
          <w:szCs w:val="22"/>
        </w:rPr>
        <w:t>).  The sample shall be taken simultaneously with, and at the same point as, the NO</w:t>
      </w:r>
      <w:r w:rsidRPr="00C73FF4">
        <w:rPr>
          <w:sz w:val="22"/>
          <w:szCs w:val="22"/>
          <w:vertAlign w:val="subscript"/>
        </w:rPr>
        <w:t>X</w:t>
      </w:r>
      <w:r w:rsidRPr="00C73FF4">
        <w:rPr>
          <w:sz w:val="22"/>
          <w:szCs w:val="22"/>
        </w:rPr>
        <w:t xml:space="preserve"> sample.</w:t>
      </w:r>
    </w:p>
    <w:p w:rsidR="00C73FF4" w:rsidRPr="00C73FF4" w:rsidRDefault="00C73FF4" w:rsidP="00CB423F">
      <w:pPr>
        <w:numPr>
          <w:ilvl w:val="0"/>
          <w:numId w:val="19"/>
        </w:numPr>
        <w:rPr>
          <w:sz w:val="22"/>
          <w:szCs w:val="22"/>
        </w:rPr>
      </w:pPr>
      <w:r w:rsidRPr="00C73FF4">
        <w:rPr>
          <w:sz w:val="22"/>
          <w:szCs w:val="22"/>
        </w:rPr>
        <w:t>The NO</w:t>
      </w:r>
      <w:r w:rsidRPr="00C73FF4">
        <w:rPr>
          <w:sz w:val="22"/>
          <w:szCs w:val="22"/>
          <w:vertAlign w:val="subscript"/>
        </w:rPr>
        <w:t>X</w:t>
      </w:r>
      <w:r w:rsidRPr="00C73FF4">
        <w:rPr>
          <w:sz w:val="22"/>
          <w:szCs w:val="22"/>
        </w:rPr>
        <w:t xml:space="preserve"> emission rate shall be computed for each pair of NO</w:t>
      </w:r>
      <w:r w:rsidRPr="00C73FF4">
        <w:rPr>
          <w:sz w:val="22"/>
          <w:szCs w:val="22"/>
          <w:vertAlign w:val="subscript"/>
        </w:rPr>
        <w:t>X</w:t>
      </w:r>
      <w:r w:rsidRPr="00C73FF4">
        <w:rPr>
          <w:sz w:val="22"/>
          <w:szCs w:val="22"/>
        </w:rPr>
        <w:t xml:space="preserve"> and O</w:t>
      </w:r>
      <w:r w:rsidRPr="00C73FF4">
        <w:rPr>
          <w:sz w:val="22"/>
          <w:szCs w:val="22"/>
          <w:vertAlign w:val="subscript"/>
        </w:rPr>
        <w:t>2</w:t>
      </w:r>
      <w:r w:rsidRPr="00C73FF4">
        <w:rPr>
          <w:sz w:val="22"/>
          <w:szCs w:val="22"/>
        </w:rPr>
        <w:t xml:space="preserve"> samples.  The NO</w:t>
      </w:r>
      <w:r w:rsidRPr="00C73FF4">
        <w:rPr>
          <w:sz w:val="22"/>
          <w:szCs w:val="22"/>
          <w:vertAlign w:val="subscript"/>
        </w:rPr>
        <w:t>X</w:t>
      </w:r>
      <w:r w:rsidRPr="00C73FF4">
        <w:rPr>
          <w:sz w:val="22"/>
          <w:szCs w:val="22"/>
        </w:rPr>
        <w:t xml:space="preserve"> emission rate (E) for each run shall be the arithmetic mean of the results of the four pairs of samples.</w:t>
      </w:r>
    </w:p>
    <w:p w:rsidR="00C73FF4" w:rsidRDefault="00565ED9" w:rsidP="00CB423F">
      <w:pPr>
        <w:pStyle w:val="ListParagraph"/>
        <w:numPr>
          <w:ilvl w:val="0"/>
          <w:numId w:val="15"/>
        </w:numPr>
        <w:tabs>
          <w:tab w:val="left" w:pos="1080"/>
        </w:tabs>
        <w:contextualSpacing w:val="0"/>
        <w:rPr>
          <w:sz w:val="22"/>
          <w:szCs w:val="22"/>
        </w:rPr>
      </w:pPr>
      <w:r w:rsidRPr="00565ED9">
        <w:rPr>
          <w:sz w:val="22"/>
          <w:szCs w:val="22"/>
        </w:rPr>
        <w:t>When combinations of fossil fuels are fired, the owner or operator (in order to compute the prorated standard as shown in 40 CFR 60.43(b) and 60.44(b)) shall determine the percentage (x or y) of the total heat input derived from each type of fuel as follows:</w:t>
      </w:r>
    </w:p>
    <w:p w:rsidR="00565ED9" w:rsidRPr="00565ED9" w:rsidRDefault="00565ED9" w:rsidP="00CB423F">
      <w:pPr>
        <w:numPr>
          <w:ilvl w:val="0"/>
          <w:numId w:val="20"/>
        </w:numPr>
        <w:ind w:left="1440" w:hanging="360"/>
        <w:rPr>
          <w:sz w:val="22"/>
          <w:szCs w:val="22"/>
        </w:rPr>
      </w:pPr>
      <w:r w:rsidRPr="00565ED9">
        <w:rPr>
          <w:sz w:val="22"/>
          <w:szCs w:val="22"/>
        </w:rPr>
        <w:t>The heat input rate of each fuel shall be determined by multiplying the gross calorific value of each fuel fired by the rate of each fuel burned.</w:t>
      </w:r>
    </w:p>
    <w:p w:rsidR="00565ED9" w:rsidRPr="00565ED9" w:rsidRDefault="00565ED9" w:rsidP="00CB423F">
      <w:pPr>
        <w:numPr>
          <w:ilvl w:val="0"/>
          <w:numId w:val="20"/>
        </w:numPr>
        <w:ind w:left="1440" w:hanging="360"/>
        <w:rPr>
          <w:sz w:val="22"/>
          <w:szCs w:val="22"/>
        </w:rPr>
      </w:pPr>
      <w:r w:rsidRPr="00565ED9">
        <w:rPr>
          <w:sz w:val="22"/>
          <w:szCs w:val="22"/>
        </w:rPr>
        <w:t>ASTM Methods D240-76 (liquid fuels), or D 1826-77 (gaseous fuels) (incorporated by reference-see 40 CFR 60.17) shall be used to determine the gross calorific values of the fuels.</w:t>
      </w:r>
    </w:p>
    <w:p w:rsidR="00565ED9" w:rsidRPr="00565ED9" w:rsidRDefault="00565ED9" w:rsidP="00CB423F">
      <w:pPr>
        <w:numPr>
          <w:ilvl w:val="0"/>
          <w:numId w:val="20"/>
        </w:numPr>
        <w:ind w:left="1440" w:hanging="360"/>
        <w:rPr>
          <w:sz w:val="22"/>
          <w:szCs w:val="22"/>
        </w:rPr>
      </w:pPr>
      <w:r w:rsidRPr="00565ED9">
        <w:rPr>
          <w:sz w:val="22"/>
          <w:szCs w:val="22"/>
        </w:rPr>
        <w:t>Suitable methods shall be used to determine the rate of each fuel burned during each test period, and a material balance over the steam generating system shall be used to confirm the rate.</w:t>
      </w:r>
    </w:p>
    <w:p w:rsidR="00565ED9" w:rsidRDefault="00565ED9" w:rsidP="00CB423F">
      <w:pPr>
        <w:pStyle w:val="ListParagraph"/>
        <w:numPr>
          <w:ilvl w:val="0"/>
          <w:numId w:val="15"/>
        </w:numPr>
        <w:tabs>
          <w:tab w:val="left" w:pos="1080"/>
        </w:tabs>
        <w:contextualSpacing w:val="0"/>
        <w:rPr>
          <w:sz w:val="22"/>
          <w:szCs w:val="22"/>
        </w:rPr>
      </w:pPr>
      <w:r w:rsidRPr="00565ED9">
        <w:rPr>
          <w:sz w:val="22"/>
          <w:szCs w:val="22"/>
        </w:rPr>
        <w:t>The owner or operator may use the following as alternatives to the reference methods and procedures in 40 CFR 60.46 or in other sections as specified:</w:t>
      </w:r>
    </w:p>
    <w:p w:rsidR="00565ED9" w:rsidRPr="00565ED9" w:rsidRDefault="00565ED9" w:rsidP="00CB423F">
      <w:pPr>
        <w:widowControl w:val="0"/>
        <w:numPr>
          <w:ilvl w:val="0"/>
          <w:numId w:val="21"/>
        </w:numPr>
        <w:spacing w:after="120"/>
        <w:ind w:left="1440"/>
        <w:contextualSpacing/>
        <w:rPr>
          <w:sz w:val="22"/>
        </w:rPr>
      </w:pPr>
      <w:r w:rsidRPr="00565ED9">
        <w:rPr>
          <w:sz w:val="22"/>
          <w:szCs w:val="22"/>
        </w:rPr>
        <w:t>The emission rate (E) of particulate matter, SO</w:t>
      </w:r>
      <w:r w:rsidRPr="00565ED9">
        <w:rPr>
          <w:sz w:val="22"/>
          <w:szCs w:val="22"/>
          <w:vertAlign w:val="subscript"/>
        </w:rPr>
        <w:t>2</w:t>
      </w:r>
      <w:r w:rsidRPr="00565ED9">
        <w:rPr>
          <w:sz w:val="22"/>
          <w:szCs w:val="22"/>
        </w:rPr>
        <w:t xml:space="preserve"> and NO</w:t>
      </w:r>
      <w:r w:rsidRPr="00565ED9">
        <w:rPr>
          <w:sz w:val="22"/>
          <w:szCs w:val="22"/>
          <w:vertAlign w:val="subscript"/>
        </w:rPr>
        <w:t>X</w:t>
      </w:r>
      <w:r w:rsidRPr="00565ED9">
        <w:rPr>
          <w:sz w:val="22"/>
          <w:szCs w:val="22"/>
        </w:rPr>
        <w:t xml:space="preserve"> may be determined by using the F</w:t>
      </w:r>
      <w:r w:rsidRPr="00565ED9">
        <w:rPr>
          <w:sz w:val="22"/>
          <w:szCs w:val="22"/>
          <w:vertAlign w:val="subscript"/>
        </w:rPr>
        <w:t xml:space="preserve">c </w:t>
      </w:r>
      <w:r w:rsidRPr="00565ED9">
        <w:rPr>
          <w:sz w:val="22"/>
          <w:szCs w:val="22"/>
        </w:rPr>
        <w:t>factor, provided that the following procedure is used:</w:t>
      </w:r>
    </w:p>
    <w:p w:rsidR="00565ED9" w:rsidRPr="00565ED9" w:rsidRDefault="00565ED9" w:rsidP="00CB423F">
      <w:pPr>
        <w:widowControl w:val="0"/>
        <w:numPr>
          <w:ilvl w:val="0"/>
          <w:numId w:val="22"/>
        </w:numPr>
        <w:spacing w:after="60"/>
        <w:ind w:left="1800"/>
        <w:rPr>
          <w:sz w:val="22"/>
        </w:rPr>
      </w:pPr>
      <w:r w:rsidRPr="00565ED9">
        <w:rPr>
          <w:sz w:val="22"/>
          <w:szCs w:val="22"/>
        </w:rPr>
        <w:t>The emission rate (E) shall be computed using the following equation:</w:t>
      </w:r>
    </w:p>
    <w:p w:rsidR="00565ED9" w:rsidRPr="00565ED9" w:rsidRDefault="00565ED9" w:rsidP="00565ED9">
      <w:pPr>
        <w:widowControl w:val="0"/>
        <w:ind w:left="1800"/>
        <w:rPr>
          <w:sz w:val="22"/>
        </w:rPr>
      </w:pPr>
      <m:oMath>
        <m:r>
          <w:rPr>
            <w:rFonts w:ascii="Cambria Math" w:hAnsi="Cambria Math"/>
            <w:sz w:val="22"/>
          </w:rPr>
          <m:t>E=C</m:t>
        </m:r>
        <m:sSub>
          <m:sSubPr>
            <m:ctrlPr>
              <w:rPr>
                <w:rFonts w:ascii="Cambria Math" w:hAnsi="Cambria Math"/>
                <w:i/>
                <w:sz w:val="22"/>
              </w:rPr>
            </m:ctrlPr>
          </m:sSubPr>
          <m:e>
            <m:r>
              <w:rPr>
                <w:rFonts w:ascii="Cambria Math" w:hAnsi="Cambria Math"/>
                <w:sz w:val="22"/>
              </w:rPr>
              <m:t>F</m:t>
            </m:r>
          </m:e>
          <m:sub>
            <m:r>
              <w:rPr>
                <w:rFonts w:ascii="Cambria Math" w:hAnsi="Cambria Math"/>
                <w:sz w:val="22"/>
              </w:rPr>
              <m:t>c</m:t>
            </m:r>
          </m:sub>
        </m:sSub>
        <m:d>
          <m:dPr>
            <m:ctrlPr>
              <w:rPr>
                <w:rFonts w:ascii="Cambria Math" w:hAnsi="Cambria Math"/>
                <w:i/>
                <w:sz w:val="22"/>
              </w:rPr>
            </m:ctrlPr>
          </m:dPr>
          <m:e>
            <m:f>
              <m:fPr>
                <m:ctrlPr>
                  <w:rPr>
                    <w:rFonts w:ascii="Cambria Math" w:hAnsi="Cambria Math"/>
                    <w:i/>
                    <w:sz w:val="22"/>
                  </w:rPr>
                </m:ctrlPr>
              </m:fPr>
              <m:num>
                <m:r>
                  <w:rPr>
                    <w:rFonts w:ascii="Cambria Math" w:hAnsi="Cambria Math"/>
                    <w:sz w:val="22"/>
                  </w:rPr>
                  <m:t>100</m:t>
                </m:r>
              </m:num>
              <m:den>
                <m:r>
                  <w:rPr>
                    <w:rFonts w:ascii="Cambria Math" w:hAnsi="Cambria Math"/>
                    <w:sz w:val="22"/>
                  </w:rPr>
                  <m:t>%</m:t>
                </m:r>
                <m:sSub>
                  <m:sSubPr>
                    <m:ctrlPr>
                      <w:rPr>
                        <w:rFonts w:ascii="Cambria Math" w:hAnsi="Cambria Math"/>
                        <w:i/>
                        <w:sz w:val="22"/>
                      </w:rPr>
                    </m:ctrlPr>
                  </m:sSubPr>
                  <m:e>
                    <m:r>
                      <w:rPr>
                        <w:rFonts w:ascii="Cambria Math" w:hAnsi="Cambria Math"/>
                        <w:sz w:val="22"/>
                      </w:rPr>
                      <m:t>CO</m:t>
                    </m:r>
                  </m:e>
                  <m:sub>
                    <m:r>
                      <w:rPr>
                        <w:rFonts w:ascii="Cambria Math" w:hAnsi="Cambria Math"/>
                        <w:sz w:val="22"/>
                      </w:rPr>
                      <m:t>2</m:t>
                    </m:r>
                  </m:sub>
                </m:sSub>
              </m:den>
            </m:f>
          </m:e>
        </m:d>
      </m:oMath>
      <w:r w:rsidRPr="00565ED9">
        <w:rPr>
          <w:sz w:val="22"/>
        </w:rPr>
        <w:t xml:space="preserve"> </w:t>
      </w:r>
    </w:p>
    <w:p w:rsidR="00565ED9" w:rsidRPr="00565ED9" w:rsidRDefault="00565ED9" w:rsidP="00565ED9">
      <w:pPr>
        <w:widowControl w:val="0"/>
        <w:ind w:left="1800"/>
        <w:rPr>
          <w:sz w:val="22"/>
        </w:rPr>
      </w:pPr>
      <w:r w:rsidRPr="00565ED9">
        <w:rPr>
          <w:sz w:val="22"/>
        </w:rPr>
        <w:t>Where:</w:t>
      </w:r>
    </w:p>
    <w:p w:rsidR="00565ED9" w:rsidRPr="00565ED9" w:rsidRDefault="00565ED9" w:rsidP="00565ED9">
      <w:pPr>
        <w:widowControl w:val="0"/>
        <w:ind w:left="1800"/>
        <w:rPr>
          <w:sz w:val="22"/>
          <w:szCs w:val="22"/>
        </w:rPr>
      </w:pPr>
      <w:r w:rsidRPr="00565ED9">
        <w:rPr>
          <w:sz w:val="22"/>
          <w:szCs w:val="22"/>
        </w:rPr>
        <w:t>E = Emission rate of pollutant, ng/J (lb/million Btu).</w:t>
      </w:r>
    </w:p>
    <w:p w:rsidR="00565ED9" w:rsidRPr="00565ED9" w:rsidRDefault="00565ED9" w:rsidP="00565ED9">
      <w:pPr>
        <w:widowControl w:val="0"/>
        <w:ind w:left="1800"/>
        <w:rPr>
          <w:sz w:val="22"/>
          <w:szCs w:val="22"/>
        </w:rPr>
      </w:pPr>
      <w:r w:rsidRPr="00565ED9">
        <w:rPr>
          <w:sz w:val="22"/>
          <w:szCs w:val="22"/>
        </w:rPr>
        <w:t>C = Concentration of pollutant, ng/dscm (lb/dscf).</w:t>
      </w:r>
    </w:p>
    <w:p w:rsidR="00565ED9" w:rsidRPr="00565ED9" w:rsidRDefault="00565ED9" w:rsidP="00565ED9">
      <w:pPr>
        <w:ind w:left="1800"/>
        <w:outlineLvl w:val="0"/>
        <w:rPr>
          <w:sz w:val="22"/>
          <w:szCs w:val="22"/>
        </w:rPr>
      </w:pPr>
      <w:r w:rsidRPr="00565ED9">
        <w:rPr>
          <w:sz w:val="22"/>
          <w:szCs w:val="22"/>
        </w:rPr>
        <w:t>%CO</w:t>
      </w:r>
      <w:r w:rsidRPr="00565ED9">
        <w:rPr>
          <w:sz w:val="22"/>
          <w:szCs w:val="22"/>
          <w:vertAlign w:val="subscript"/>
        </w:rPr>
        <w:t>2</w:t>
      </w:r>
      <w:r w:rsidRPr="00565ED9">
        <w:rPr>
          <w:sz w:val="22"/>
          <w:szCs w:val="22"/>
        </w:rPr>
        <w:t xml:space="preserve"> = </w:t>
      </w:r>
      <w:r w:rsidRPr="00565ED9">
        <w:rPr>
          <w:strike/>
          <w:sz w:val="22"/>
          <w:szCs w:val="22"/>
          <w:highlight w:val="yellow"/>
        </w:rPr>
        <w:t>carbon dioxide</w:t>
      </w:r>
      <w:r w:rsidRPr="00565ED9">
        <w:rPr>
          <w:sz w:val="22"/>
          <w:szCs w:val="22"/>
        </w:rPr>
        <w:t xml:space="preserve"> </w:t>
      </w:r>
      <w:r w:rsidRPr="00565ED9">
        <w:rPr>
          <w:sz w:val="22"/>
          <w:szCs w:val="22"/>
          <w:highlight w:val="yellow"/>
          <w:u w:val="double"/>
        </w:rPr>
        <w:t>CO</w:t>
      </w:r>
      <w:r w:rsidRPr="00565ED9">
        <w:rPr>
          <w:sz w:val="22"/>
          <w:szCs w:val="22"/>
          <w:highlight w:val="yellow"/>
          <w:u w:val="double"/>
          <w:vertAlign w:val="subscript"/>
        </w:rPr>
        <w:t>2</w:t>
      </w:r>
      <w:r w:rsidRPr="00565ED9">
        <w:rPr>
          <w:sz w:val="22"/>
          <w:szCs w:val="22"/>
        </w:rPr>
        <w:t xml:space="preserve"> concentration, percent dry basis.</w:t>
      </w:r>
    </w:p>
    <w:p w:rsidR="00565ED9" w:rsidRPr="00565ED9" w:rsidRDefault="00565ED9" w:rsidP="00565ED9">
      <w:pPr>
        <w:ind w:left="1800"/>
        <w:outlineLvl w:val="0"/>
        <w:rPr>
          <w:sz w:val="22"/>
          <w:szCs w:val="22"/>
        </w:rPr>
      </w:pPr>
      <w:r w:rsidRPr="00565ED9">
        <w:rPr>
          <w:sz w:val="22"/>
          <w:szCs w:val="22"/>
        </w:rPr>
        <w:t>F</w:t>
      </w:r>
      <w:r w:rsidRPr="00565ED9">
        <w:rPr>
          <w:sz w:val="22"/>
          <w:szCs w:val="22"/>
          <w:vertAlign w:val="subscript"/>
        </w:rPr>
        <w:t>c</w:t>
      </w:r>
      <w:r w:rsidRPr="00565ED9">
        <w:rPr>
          <w:sz w:val="22"/>
          <w:szCs w:val="22"/>
        </w:rPr>
        <w:t xml:space="preserve"> = factor as determined in appropriate sections of Method 19 </w:t>
      </w:r>
      <w:r w:rsidRPr="00565ED9">
        <w:rPr>
          <w:sz w:val="22"/>
          <w:szCs w:val="22"/>
          <w:highlight w:val="yellow"/>
          <w:u w:val="double"/>
        </w:rPr>
        <w:t>of appendix A of 40 CFR 60</w:t>
      </w:r>
      <w:r w:rsidRPr="00565ED9">
        <w:rPr>
          <w:sz w:val="22"/>
          <w:szCs w:val="22"/>
        </w:rPr>
        <w:t>.</w:t>
      </w:r>
    </w:p>
    <w:p w:rsidR="00565ED9" w:rsidRPr="00565ED9" w:rsidRDefault="00565ED9" w:rsidP="00CB423F">
      <w:pPr>
        <w:widowControl w:val="0"/>
        <w:numPr>
          <w:ilvl w:val="0"/>
          <w:numId w:val="22"/>
        </w:numPr>
        <w:spacing w:after="60"/>
        <w:ind w:left="1800"/>
        <w:rPr>
          <w:sz w:val="22"/>
        </w:rPr>
      </w:pPr>
      <w:r w:rsidRPr="00565ED9">
        <w:rPr>
          <w:sz w:val="22"/>
          <w:szCs w:val="22"/>
        </w:rPr>
        <w:t>If and only if the average F</w:t>
      </w:r>
      <w:r w:rsidRPr="00565ED9">
        <w:rPr>
          <w:sz w:val="22"/>
          <w:szCs w:val="22"/>
          <w:vertAlign w:val="subscript"/>
        </w:rPr>
        <w:t>c</w:t>
      </w:r>
      <w:r w:rsidRPr="00565ED9">
        <w:rPr>
          <w:sz w:val="22"/>
          <w:szCs w:val="22"/>
        </w:rPr>
        <w:t xml:space="preserve"> factor in Method 19 is used to calculate E and either E is from 0.97 to 1.00 of the emission standard or the relative accuracy of a </w:t>
      </w:r>
      <w:r w:rsidRPr="00565ED9">
        <w:rPr>
          <w:strike/>
          <w:sz w:val="22"/>
          <w:szCs w:val="22"/>
          <w:highlight w:val="yellow"/>
        </w:rPr>
        <w:t>continuous emission monitoring system</w:t>
      </w:r>
      <w:r w:rsidRPr="00565ED9">
        <w:rPr>
          <w:sz w:val="22"/>
          <w:szCs w:val="22"/>
        </w:rPr>
        <w:t xml:space="preserve"> </w:t>
      </w:r>
      <w:r w:rsidRPr="00565ED9">
        <w:rPr>
          <w:sz w:val="22"/>
          <w:szCs w:val="22"/>
          <w:highlight w:val="yellow"/>
          <w:u w:val="double"/>
        </w:rPr>
        <w:t>(CEMS)</w:t>
      </w:r>
      <w:r w:rsidRPr="00565ED9">
        <w:rPr>
          <w:sz w:val="22"/>
          <w:szCs w:val="22"/>
        </w:rPr>
        <w:t xml:space="preserve"> is from 17 to 20 percent, then three runs of Method 3B </w:t>
      </w:r>
      <w:r w:rsidRPr="00565ED9">
        <w:rPr>
          <w:sz w:val="22"/>
          <w:szCs w:val="22"/>
          <w:highlight w:val="yellow"/>
          <w:u w:val="double"/>
        </w:rPr>
        <w:t>of appendix A of 40 CFR 60</w:t>
      </w:r>
      <w:r w:rsidRPr="00565ED9">
        <w:rPr>
          <w:sz w:val="22"/>
          <w:szCs w:val="22"/>
        </w:rPr>
        <w:t xml:space="preserve"> shall be used to determine the O</w:t>
      </w:r>
      <w:r w:rsidRPr="00565ED9">
        <w:rPr>
          <w:sz w:val="22"/>
          <w:szCs w:val="22"/>
          <w:vertAlign w:val="subscript"/>
        </w:rPr>
        <w:t>2</w:t>
      </w:r>
      <w:r w:rsidRPr="00565ED9">
        <w:rPr>
          <w:sz w:val="22"/>
          <w:szCs w:val="22"/>
        </w:rPr>
        <w:t xml:space="preserve"> and CO</w:t>
      </w:r>
      <w:r w:rsidRPr="00565ED9">
        <w:rPr>
          <w:sz w:val="22"/>
          <w:szCs w:val="22"/>
          <w:vertAlign w:val="subscript"/>
        </w:rPr>
        <w:t>2</w:t>
      </w:r>
      <w:r w:rsidRPr="00565ED9">
        <w:rPr>
          <w:sz w:val="22"/>
          <w:szCs w:val="22"/>
        </w:rPr>
        <w:t xml:space="preserve"> concentration according to the procedures in 40 CFR 60.46(b) (2)(ii), (4)(ii), or (5)(ii).  Then if F</w:t>
      </w:r>
      <w:r w:rsidRPr="00565ED9">
        <w:rPr>
          <w:sz w:val="22"/>
          <w:szCs w:val="22"/>
          <w:vertAlign w:val="subscript"/>
        </w:rPr>
        <w:t>o</w:t>
      </w:r>
      <w:r w:rsidRPr="00565ED9">
        <w:rPr>
          <w:sz w:val="22"/>
          <w:szCs w:val="22"/>
        </w:rPr>
        <w:t xml:space="preserve"> (average of three runs), as calculated from the equation in Method 3B </w:t>
      </w:r>
      <w:r w:rsidRPr="00565ED9">
        <w:rPr>
          <w:sz w:val="22"/>
          <w:szCs w:val="22"/>
          <w:highlight w:val="yellow"/>
          <w:u w:val="double"/>
        </w:rPr>
        <w:t>of appendix A of 40 CFR 60</w:t>
      </w:r>
      <w:r w:rsidRPr="00565ED9">
        <w:rPr>
          <w:sz w:val="22"/>
          <w:szCs w:val="22"/>
        </w:rPr>
        <w:t xml:space="preserve">, is more than </w:t>
      </w:r>
      <w:r w:rsidRPr="00565ED9">
        <w:rPr>
          <w:sz w:val="22"/>
          <w:szCs w:val="22"/>
        </w:rPr>
        <w:fldChar w:fldCharType="begin"/>
      </w:r>
      <w:r w:rsidRPr="00565ED9">
        <w:rPr>
          <w:sz w:val="22"/>
          <w:szCs w:val="22"/>
        </w:rPr>
        <w:instrText>symbol 177 \f "Symbol" \s 11</w:instrText>
      </w:r>
      <w:r w:rsidRPr="00565ED9">
        <w:rPr>
          <w:sz w:val="22"/>
          <w:szCs w:val="22"/>
        </w:rPr>
        <w:fldChar w:fldCharType="end"/>
      </w:r>
      <w:r w:rsidRPr="00565ED9">
        <w:rPr>
          <w:sz w:val="22"/>
          <w:szCs w:val="22"/>
        </w:rPr>
        <w:t xml:space="preserve"> 3 percent than the average F</w:t>
      </w:r>
      <w:r w:rsidRPr="00565ED9">
        <w:rPr>
          <w:sz w:val="22"/>
          <w:szCs w:val="22"/>
          <w:vertAlign w:val="subscript"/>
        </w:rPr>
        <w:t>o</w:t>
      </w:r>
      <w:r w:rsidRPr="00565ED9">
        <w:rPr>
          <w:sz w:val="22"/>
          <w:szCs w:val="22"/>
        </w:rPr>
        <w:t xml:space="preserve"> value, as determined from the average values of F</w:t>
      </w:r>
      <w:r w:rsidRPr="00565ED9">
        <w:rPr>
          <w:sz w:val="22"/>
          <w:szCs w:val="22"/>
          <w:vertAlign w:val="subscript"/>
        </w:rPr>
        <w:t>d</w:t>
      </w:r>
      <w:r w:rsidRPr="00565ED9">
        <w:rPr>
          <w:sz w:val="22"/>
          <w:szCs w:val="22"/>
        </w:rPr>
        <w:t xml:space="preserve"> and F</w:t>
      </w:r>
      <w:r w:rsidRPr="00565ED9">
        <w:rPr>
          <w:sz w:val="22"/>
          <w:szCs w:val="22"/>
          <w:vertAlign w:val="subscript"/>
        </w:rPr>
        <w:t>c</w:t>
      </w:r>
      <w:r w:rsidRPr="00565ED9">
        <w:rPr>
          <w:sz w:val="22"/>
          <w:szCs w:val="22"/>
        </w:rPr>
        <w:t xml:space="preserve"> in Method 19, i.e., F</w:t>
      </w:r>
      <w:r w:rsidRPr="00565ED9">
        <w:rPr>
          <w:sz w:val="22"/>
          <w:szCs w:val="22"/>
          <w:vertAlign w:val="subscript"/>
        </w:rPr>
        <w:t>oa</w:t>
      </w:r>
      <w:r w:rsidRPr="00565ED9">
        <w:rPr>
          <w:sz w:val="22"/>
          <w:szCs w:val="22"/>
        </w:rPr>
        <w:t xml:space="preserve"> = 0.209 (F</w:t>
      </w:r>
      <w:r w:rsidRPr="00565ED9">
        <w:rPr>
          <w:sz w:val="22"/>
          <w:szCs w:val="22"/>
          <w:vertAlign w:val="subscript"/>
        </w:rPr>
        <w:t>da</w:t>
      </w:r>
      <w:r w:rsidRPr="00565ED9">
        <w:rPr>
          <w:sz w:val="22"/>
          <w:szCs w:val="22"/>
        </w:rPr>
        <w:t xml:space="preserve"> / F</w:t>
      </w:r>
      <w:r w:rsidRPr="00565ED9">
        <w:rPr>
          <w:sz w:val="22"/>
          <w:szCs w:val="22"/>
          <w:vertAlign w:val="subscript"/>
        </w:rPr>
        <w:t>ca</w:t>
      </w:r>
      <w:r w:rsidRPr="00565ED9">
        <w:rPr>
          <w:sz w:val="22"/>
          <w:szCs w:val="22"/>
        </w:rPr>
        <w:t>), then the following procedure shall be followed:</w:t>
      </w:r>
    </w:p>
    <w:p w:rsidR="00565ED9" w:rsidRPr="00565ED9" w:rsidRDefault="00565ED9" w:rsidP="00CB423F">
      <w:pPr>
        <w:widowControl w:val="0"/>
        <w:numPr>
          <w:ilvl w:val="0"/>
          <w:numId w:val="23"/>
        </w:numPr>
        <w:tabs>
          <w:tab w:val="left" w:pos="360"/>
          <w:tab w:val="left" w:pos="720"/>
          <w:tab w:val="left" w:pos="1080"/>
          <w:tab w:val="left" w:pos="1440"/>
          <w:tab w:val="right" w:pos="10080"/>
        </w:tabs>
        <w:ind w:left="2160"/>
        <w:rPr>
          <w:sz w:val="22"/>
        </w:rPr>
      </w:pPr>
      <w:r w:rsidRPr="00565ED9">
        <w:rPr>
          <w:sz w:val="22"/>
          <w:szCs w:val="22"/>
        </w:rPr>
        <w:t>When F</w:t>
      </w:r>
      <w:r w:rsidRPr="00565ED9">
        <w:rPr>
          <w:sz w:val="22"/>
          <w:szCs w:val="22"/>
          <w:vertAlign w:val="subscript"/>
        </w:rPr>
        <w:t>o</w:t>
      </w:r>
      <w:r w:rsidRPr="00565ED9">
        <w:rPr>
          <w:sz w:val="22"/>
          <w:szCs w:val="22"/>
        </w:rPr>
        <w:t xml:space="preserve"> is less than 0.97 F</w:t>
      </w:r>
      <w:r w:rsidRPr="00565ED9">
        <w:rPr>
          <w:sz w:val="22"/>
          <w:szCs w:val="22"/>
          <w:vertAlign w:val="subscript"/>
        </w:rPr>
        <w:t>oa</w:t>
      </w:r>
      <w:r w:rsidRPr="00565ED9">
        <w:rPr>
          <w:sz w:val="22"/>
          <w:szCs w:val="22"/>
        </w:rPr>
        <w:t>, then E shall be increased by that proportion under 0.97 F</w:t>
      </w:r>
      <w:r w:rsidRPr="00565ED9">
        <w:rPr>
          <w:sz w:val="22"/>
          <w:szCs w:val="22"/>
          <w:vertAlign w:val="subscript"/>
        </w:rPr>
        <w:t>oa</w:t>
      </w:r>
      <w:r w:rsidRPr="00565ED9">
        <w:rPr>
          <w:sz w:val="22"/>
          <w:szCs w:val="22"/>
        </w:rPr>
        <w:t>, e.g., if F</w:t>
      </w:r>
      <w:r w:rsidRPr="00565ED9">
        <w:rPr>
          <w:sz w:val="22"/>
          <w:szCs w:val="22"/>
          <w:vertAlign w:val="subscript"/>
        </w:rPr>
        <w:t>o</w:t>
      </w:r>
      <w:r w:rsidRPr="00565ED9">
        <w:rPr>
          <w:sz w:val="22"/>
          <w:szCs w:val="22"/>
        </w:rPr>
        <w:t xml:space="preserve"> is 0.95 F</w:t>
      </w:r>
      <w:r w:rsidRPr="00565ED9">
        <w:rPr>
          <w:sz w:val="22"/>
          <w:szCs w:val="22"/>
          <w:vertAlign w:val="subscript"/>
        </w:rPr>
        <w:t>oa</w:t>
      </w:r>
      <w:r w:rsidRPr="00565ED9">
        <w:rPr>
          <w:sz w:val="22"/>
          <w:szCs w:val="22"/>
        </w:rPr>
        <w:t>, E shall be increased by 2 percent. This recalculated value shall be used to determine compliance with the emission standard.</w:t>
      </w:r>
    </w:p>
    <w:p w:rsidR="00565ED9" w:rsidRPr="00565ED9" w:rsidRDefault="00565ED9" w:rsidP="00CB423F">
      <w:pPr>
        <w:widowControl w:val="0"/>
        <w:numPr>
          <w:ilvl w:val="0"/>
          <w:numId w:val="23"/>
        </w:numPr>
        <w:tabs>
          <w:tab w:val="left" w:pos="360"/>
          <w:tab w:val="left" w:pos="720"/>
          <w:tab w:val="left" w:pos="1080"/>
          <w:tab w:val="left" w:pos="1440"/>
          <w:tab w:val="right" w:pos="10080"/>
        </w:tabs>
        <w:ind w:left="2160"/>
        <w:rPr>
          <w:sz w:val="22"/>
          <w:szCs w:val="22"/>
        </w:rPr>
      </w:pPr>
      <w:r w:rsidRPr="00565ED9">
        <w:rPr>
          <w:sz w:val="22"/>
          <w:szCs w:val="22"/>
        </w:rPr>
        <w:t>When F</w:t>
      </w:r>
      <w:r w:rsidRPr="00565ED9">
        <w:rPr>
          <w:sz w:val="22"/>
          <w:szCs w:val="22"/>
          <w:vertAlign w:val="subscript"/>
        </w:rPr>
        <w:t>o</w:t>
      </w:r>
      <w:r w:rsidRPr="00565ED9">
        <w:rPr>
          <w:sz w:val="22"/>
          <w:szCs w:val="22"/>
        </w:rPr>
        <w:t xml:space="preserve"> is less than 0.97 F</w:t>
      </w:r>
      <w:r w:rsidRPr="00565ED9">
        <w:rPr>
          <w:sz w:val="22"/>
          <w:szCs w:val="22"/>
          <w:vertAlign w:val="subscript"/>
        </w:rPr>
        <w:t>oa</w:t>
      </w:r>
      <w:r w:rsidRPr="00565ED9">
        <w:rPr>
          <w:sz w:val="22"/>
          <w:szCs w:val="22"/>
        </w:rPr>
        <w:t xml:space="preserve"> and when the average difference (</w:t>
      </w:r>
      <w:r w:rsidRPr="00565ED9">
        <w:rPr>
          <w:sz w:val="22"/>
          <w:szCs w:val="22"/>
        </w:rPr>
        <w:object w:dxaOrig="2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4.95pt" o:ole="" fillcolor="window">
            <v:imagedata r:id="rId8" o:title=""/>
          </v:shape>
          <o:OLEObject Type="Embed" ProgID="Equation.2" ShapeID="_x0000_i1025" DrawAspect="Content" ObjectID="_1598762617" r:id="rId9"/>
        </w:object>
      </w:r>
      <w:r w:rsidRPr="00565ED9">
        <w:rPr>
          <w:sz w:val="22"/>
          <w:szCs w:val="22"/>
        </w:rPr>
        <w:t>) between the continuous monitor minus the reference methods is negative, then E shall be increased by that proportion under 0.97 F</w:t>
      </w:r>
      <w:r w:rsidRPr="00565ED9">
        <w:rPr>
          <w:sz w:val="22"/>
          <w:szCs w:val="22"/>
          <w:vertAlign w:val="subscript"/>
        </w:rPr>
        <w:t>oa</w:t>
      </w:r>
      <w:r w:rsidRPr="00565ED9">
        <w:rPr>
          <w:sz w:val="22"/>
          <w:szCs w:val="22"/>
        </w:rPr>
        <w:t>, e.g., if Fo is 0.95 F</w:t>
      </w:r>
      <w:r w:rsidRPr="00565ED9">
        <w:rPr>
          <w:sz w:val="22"/>
          <w:szCs w:val="22"/>
          <w:vertAlign w:val="subscript"/>
        </w:rPr>
        <w:t>oa</w:t>
      </w:r>
      <w:r w:rsidRPr="00565ED9">
        <w:rPr>
          <w:sz w:val="22"/>
          <w:szCs w:val="22"/>
        </w:rPr>
        <w:t>, E shall be increased by 2 percent.  This recalculated value shall be used to determine compliance with the relative accuracy specification.</w:t>
      </w:r>
    </w:p>
    <w:p w:rsidR="00565ED9" w:rsidRPr="00565ED9" w:rsidRDefault="00565ED9" w:rsidP="00CB423F">
      <w:pPr>
        <w:widowControl w:val="0"/>
        <w:numPr>
          <w:ilvl w:val="0"/>
          <w:numId w:val="23"/>
        </w:numPr>
        <w:tabs>
          <w:tab w:val="left" w:pos="360"/>
          <w:tab w:val="left" w:pos="720"/>
          <w:tab w:val="left" w:pos="1080"/>
          <w:tab w:val="left" w:pos="1440"/>
          <w:tab w:val="right" w:pos="10080"/>
        </w:tabs>
        <w:ind w:left="2160"/>
        <w:rPr>
          <w:sz w:val="22"/>
          <w:szCs w:val="22"/>
        </w:rPr>
      </w:pPr>
      <w:r w:rsidRPr="00565ED9">
        <w:rPr>
          <w:sz w:val="22"/>
          <w:szCs w:val="22"/>
        </w:rPr>
        <w:t>When F</w:t>
      </w:r>
      <w:r w:rsidRPr="00565ED9">
        <w:rPr>
          <w:sz w:val="22"/>
          <w:szCs w:val="22"/>
          <w:vertAlign w:val="subscript"/>
        </w:rPr>
        <w:t>o</w:t>
      </w:r>
      <w:r w:rsidRPr="00565ED9">
        <w:rPr>
          <w:sz w:val="22"/>
          <w:szCs w:val="22"/>
        </w:rPr>
        <w:t xml:space="preserve"> is greater than 1.03 F</w:t>
      </w:r>
      <w:r w:rsidRPr="00565ED9">
        <w:rPr>
          <w:sz w:val="22"/>
          <w:szCs w:val="22"/>
          <w:vertAlign w:val="subscript"/>
        </w:rPr>
        <w:t>oa</w:t>
      </w:r>
      <w:r w:rsidRPr="00565ED9">
        <w:rPr>
          <w:sz w:val="22"/>
          <w:szCs w:val="22"/>
        </w:rPr>
        <w:t xml:space="preserve"> and when </w:t>
      </w:r>
      <w:r w:rsidRPr="00565ED9">
        <w:rPr>
          <w:sz w:val="22"/>
          <w:szCs w:val="22"/>
        </w:rPr>
        <w:object w:dxaOrig="220" w:dyaOrig="320">
          <v:shape id="_x0000_i1026" type="#_x0000_t75" style="width:11.7pt;height:14.95pt" o:ole="" fillcolor="window">
            <v:imagedata r:id="rId8" o:title=""/>
          </v:shape>
          <o:OLEObject Type="Embed" ProgID="Equation.2" ShapeID="_x0000_i1026" DrawAspect="Content" ObjectID="_1598762618" r:id="rId10"/>
        </w:object>
      </w:r>
      <w:r w:rsidRPr="00565ED9">
        <w:rPr>
          <w:sz w:val="22"/>
          <w:szCs w:val="22"/>
        </w:rPr>
        <w:t xml:space="preserve"> is positive, then E shall be decreased by that proportion over 1.03 F</w:t>
      </w:r>
      <w:r w:rsidRPr="00565ED9">
        <w:rPr>
          <w:sz w:val="22"/>
          <w:szCs w:val="22"/>
          <w:vertAlign w:val="subscript"/>
        </w:rPr>
        <w:t>oa</w:t>
      </w:r>
      <w:r w:rsidRPr="00565ED9">
        <w:rPr>
          <w:sz w:val="22"/>
          <w:szCs w:val="22"/>
        </w:rPr>
        <w:t>, e.g., if F</w:t>
      </w:r>
      <w:r w:rsidRPr="00565ED9">
        <w:rPr>
          <w:sz w:val="22"/>
          <w:szCs w:val="22"/>
          <w:vertAlign w:val="subscript"/>
        </w:rPr>
        <w:t>o</w:t>
      </w:r>
      <w:r w:rsidRPr="00565ED9">
        <w:rPr>
          <w:sz w:val="22"/>
          <w:szCs w:val="22"/>
        </w:rPr>
        <w:t xml:space="preserve"> is 1.05 F</w:t>
      </w:r>
      <w:r w:rsidRPr="00565ED9">
        <w:rPr>
          <w:sz w:val="22"/>
          <w:szCs w:val="22"/>
          <w:vertAlign w:val="subscript"/>
        </w:rPr>
        <w:t>oa</w:t>
      </w:r>
      <w:r w:rsidRPr="00565ED9">
        <w:rPr>
          <w:sz w:val="22"/>
          <w:szCs w:val="22"/>
        </w:rPr>
        <w:t>, E shall be decreased by 2 percent.  This recalculated value shall be used to determine compliance with the relative accuracy specification.</w:t>
      </w:r>
    </w:p>
    <w:p w:rsidR="00565ED9" w:rsidRPr="00565ED9" w:rsidRDefault="00565ED9" w:rsidP="00CB423F">
      <w:pPr>
        <w:widowControl w:val="0"/>
        <w:numPr>
          <w:ilvl w:val="0"/>
          <w:numId w:val="21"/>
        </w:numPr>
        <w:spacing w:after="120"/>
        <w:ind w:left="1440"/>
        <w:contextualSpacing/>
        <w:rPr>
          <w:sz w:val="22"/>
        </w:rPr>
      </w:pPr>
      <w:bookmarkStart w:id="15" w:name="_Hlk520122305"/>
      <w:r w:rsidRPr="00565ED9">
        <w:rPr>
          <w:sz w:val="22"/>
          <w:szCs w:val="22"/>
        </w:rPr>
        <w:t>For Method 5 or 5B, Method 17 may be used at facilities with or without wet FGD systems if the stack gas temperature at the sampling location does not exceed an average temperature of 160</w:t>
      </w:r>
      <w:r>
        <w:rPr>
          <w:sz w:val="22"/>
          <w:szCs w:val="22"/>
        </w:rPr>
        <w:t>⁰</w:t>
      </w:r>
      <w:r w:rsidRPr="00565ED9">
        <w:rPr>
          <w:sz w:val="22"/>
          <w:szCs w:val="22"/>
        </w:rPr>
        <w:t>C (320</w:t>
      </w:r>
      <w:r>
        <w:rPr>
          <w:sz w:val="22"/>
          <w:szCs w:val="22"/>
        </w:rPr>
        <w:t>⁰</w:t>
      </w:r>
      <w:r w:rsidRPr="00565ED9">
        <w:rPr>
          <w:sz w:val="22"/>
          <w:szCs w:val="22"/>
        </w:rPr>
        <w:t>F).  The procedures of sections 2.1 and 2.3 of Method 5B may be used with Method 17 only if it is used after wet FGD systems.  Method 17 shall not be used after wet FGD systems if the effluent gas is saturated or laden with water droplets.</w:t>
      </w:r>
      <w:bookmarkEnd w:id="15"/>
    </w:p>
    <w:p w:rsidR="00565ED9" w:rsidRPr="00565ED9" w:rsidRDefault="00565ED9" w:rsidP="00CB423F">
      <w:pPr>
        <w:widowControl w:val="0"/>
        <w:numPr>
          <w:ilvl w:val="0"/>
          <w:numId w:val="21"/>
        </w:numPr>
        <w:spacing w:after="120"/>
        <w:ind w:left="1440"/>
        <w:contextualSpacing/>
        <w:rPr>
          <w:sz w:val="22"/>
        </w:rPr>
      </w:pPr>
      <w:r w:rsidRPr="00565ED9">
        <w:rPr>
          <w:strike/>
          <w:sz w:val="22"/>
          <w:szCs w:val="22"/>
          <w:highlight w:val="yellow"/>
        </w:rPr>
        <w:t>Particulate matter</w:t>
      </w:r>
      <w:r w:rsidRPr="00565ED9">
        <w:rPr>
          <w:sz w:val="22"/>
          <w:szCs w:val="22"/>
        </w:rPr>
        <w:t xml:space="preserve"> </w:t>
      </w:r>
      <w:r w:rsidRPr="00565ED9">
        <w:rPr>
          <w:sz w:val="22"/>
          <w:szCs w:val="22"/>
          <w:highlight w:val="yellow"/>
          <w:u w:val="double"/>
        </w:rPr>
        <w:t>(PM)</w:t>
      </w:r>
      <w:r w:rsidRPr="00565ED9">
        <w:rPr>
          <w:sz w:val="22"/>
          <w:szCs w:val="22"/>
        </w:rPr>
        <w:t xml:space="preserve"> and SO</w:t>
      </w:r>
      <w:r w:rsidRPr="00565ED9">
        <w:rPr>
          <w:sz w:val="22"/>
          <w:szCs w:val="22"/>
          <w:vertAlign w:val="subscript"/>
        </w:rPr>
        <w:t>2</w:t>
      </w:r>
      <w:r w:rsidRPr="00565ED9">
        <w:rPr>
          <w:sz w:val="22"/>
          <w:szCs w:val="22"/>
        </w:rPr>
        <w:t xml:space="preserve"> may be determined simultaneously with the Method 5 </w:t>
      </w:r>
      <w:r w:rsidRPr="00565ED9">
        <w:rPr>
          <w:sz w:val="22"/>
          <w:szCs w:val="22"/>
          <w:highlight w:val="yellow"/>
          <w:u w:val="double"/>
        </w:rPr>
        <w:t>of appendix A of 40 CFR 60</w:t>
      </w:r>
      <w:r w:rsidRPr="00565ED9">
        <w:rPr>
          <w:sz w:val="22"/>
          <w:szCs w:val="22"/>
        </w:rPr>
        <w:t xml:space="preserve"> train provided that the following changes are made:</w:t>
      </w:r>
    </w:p>
    <w:p w:rsidR="00565ED9" w:rsidRPr="00565ED9" w:rsidRDefault="00565ED9" w:rsidP="00CB423F">
      <w:pPr>
        <w:widowControl w:val="0"/>
        <w:numPr>
          <w:ilvl w:val="0"/>
          <w:numId w:val="24"/>
        </w:numPr>
        <w:spacing w:after="120"/>
        <w:ind w:left="1800"/>
        <w:contextualSpacing/>
        <w:rPr>
          <w:sz w:val="22"/>
        </w:rPr>
      </w:pPr>
      <w:r w:rsidRPr="00565ED9">
        <w:rPr>
          <w:sz w:val="22"/>
          <w:szCs w:val="22"/>
        </w:rPr>
        <w:t>The filter and impinger apparatus in sections 2.1.5 and 2.1.6 of Method 8 is used in place of the condenser (section 2.1.7) of Method 5.</w:t>
      </w:r>
    </w:p>
    <w:p w:rsidR="00565ED9" w:rsidRPr="00565ED9" w:rsidRDefault="00565ED9" w:rsidP="00CB423F">
      <w:pPr>
        <w:widowControl w:val="0"/>
        <w:numPr>
          <w:ilvl w:val="0"/>
          <w:numId w:val="24"/>
        </w:numPr>
        <w:spacing w:after="120"/>
        <w:ind w:left="1800"/>
        <w:contextualSpacing/>
        <w:rPr>
          <w:sz w:val="22"/>
        </w:rPr>
      </w:pPr>
      <w:r w:rsidRPr="00565ED9">
        <w:rPr>
          <w:sz w:val="22"/>
          <w:szCs w:val="22"/>
        </w:rPr>
        <w:t>All applicable procedures in method 8 for the determination of SO</w:t>
      </w:r>
      <w:r w:rsidRPr="00565ED9">
        <w:rPr>
          <w:sz w:val="22"/>
          <w:szCs w:val="22"/>
          <w:vertAlign w:val="subscript"/>
        </w:rPr>
        <w:t>2</w:t>
      </w:r>
      <w:r w:rsidRPr="00565ED9">
        <w:rPr>
          <w:sz w:val="22"/>
          <w:szCs w:val="22"/>
        </w:rPr>
        <w:t xml:space="preserve"> including moisture) are used.</w:t>
      </w:r>
    </w:p>
    <w:p w:rsidR="00565ED9" w:rsidRPr="00565ED9" w:rsidRDefault="00565ED9" w:rsidP="00CB423F">
      <w:pPr>
        <w:widowControl w:val="0"/>
        <w:numPr>
          <w:ilvl w:val="0"/>
          <w:numId w:val="21"/>
        </w:numPr>
        <w:spacing w:after="120"/>
        <w:ind w:left="1440"/>
        <w:contextualSpacing/>
        <w:rPr>
          <w:sz w:val="22"/>
        </w:rPr>
      </w:pPr>
      <w:r w:rsidRPr="00565ED9">
        <w:rPr>
          <w:sz w:val="22"/>
          <w:szCs w:val="22"/>
        </w:rPr>
        <w:t xml:space="preserve">For Method 6 </w:t>
      </w:r>
      <w:r w:rsidRPr="00565ED9">
        <w:rPr>
          <w:sz w:val="22"/>
          <w:szCs w:val="22"/>
          <w:highlight w:val="yellow"/>
          <w:u w:val="double"/>
        </w:rPr>
        <w:t>of appendix A of 40 CFR 60</w:t>
      </w:r>
      <w:r w:rsidRPr="00565ED9">
        <w:rPr>
          <w:sz w:val="22"/>
          <w:szCs w:val="22"/>
        </w:rPr>
        <w:t xml:space="preserve">, Method 6C </w:t>
      </w:r>
      <w:r w:rsidRPr="00565ED9">
        <w:rPr>
          <w:sz w:val="22"/>
          <w:szCs w:val="22"/>
          <w:highlight w:val="yellow"/>
          <w:u w:val="double"/>
        </w:rPr>
        <w:t>of appendix A of 40 CFR 60</w:t>
      </w:r>
      <w:r w:rsidRPr="00565ED9">
        <w:rPr>
          <w:sz w:val="22"/>
          <w:szCs w:val="22"/>
        </w:rPr>
        <w:t xml:space="preserve"> may be used.  Method 6A </w:t>
      </w:r>
      <w:r w:rsidRPr="00565ED9">
        <w:rPr>
          <w:sz w:val="22"/>
          <w:szCs w:val="22"/>
          <w:highlight w:val="yellow"/>
          <w:u w:val="double"/>
        </w:rPr>
        <w:t>of appendix A of 40 CFR 60</w:t>
      </w:r>
      <w:r w:rsidRPr="00565ED9">
        <w:rPr>
          <w:sz w:val="22"/>
          <w:szCs w:val="22"/>
        </w:rPr>
        <w:t xml:space="preserve"> may also be used whenever Methods 6 and 3B </w:t>
      </w:r>
      <w:r w:rsidRPr="00565ED9">
        <w:rPr>
          <w:sz w:val="22"/>
          <w:szCs w:val="22"/>
          <w:highlight w:val="yellow"/>
          <w:u w:val="double"/>
        </w:rPr>
        <w:t>of appendix A of 40 CFR 60</w:t>
      </w:r>
      <w:r w:rsidRPr="00565ED9">
        <w:rPr>
          <w:sz w:val="22"/>
          <w:szCs w:val="22"/>
        </w:rPr>
        <w:t xml:space="preserve"> data are specified to determine the SO</w:t>
      </w:r>
      <w:r w:rsidRPr="00565ED9">
        <w:rPr>
          <w:sz w:val="22"/>
          <w:szCs w:val="22"/>
          <w:vertAlign w:val="subscript"/>
        </w:rPr>
        <w:t>2</w:t>
      </w:r>
      <w:r w:rsidRPr="00565ED9">
        <w:rPr>
          <w:sz w:val="22"/>
          <w:szCs w:val="22"/>
        </w:rPr>
        <w:t xml:space="preserve"> emission rate, under the conditions in 40 CFR 60.46(d)(1).</w:t>
      </w:r>
    </w:p>
    <w:p w:rsidR="00565ED9" w:rsidRPr="00565ED9" w:rsidRDefault="00565ED9" w:rsidP="00CB423F">
      <w:pPr>
        <w:widowControl w:val="0"/>
        <w:numPr>
          <w:ilvl w:val="0"/>
          <w:numId w:val="21"/>
        </w:numPr>
        <w:spacing w:after="120"/>
        <w:ind w:left="1440"/>
        <w:contextualSpacing/>
        <w:rPr>
          <w:sz w:val="22"/>
        </w:rPr>
      </w:pPr>
      <w:r w:rsidRPr="00565ED9">
        <w:rPr>
          <w:sz w:val="22"/>
          <w:szCs w:val="22"/>
        </w:rPr>
        <w:t xml:space="preserve">For Method 7 </w:t>
      </w:r>
      <w:r w:rsidRPr="00565ED9">
        <w:rPr>
          <w:sz w:val="22"/>
          <w:szCs w:val="22"/>
          <w:highlight w:val="yellow"/>
          <w:u w:val="double"/>
        </w:rPr>
        <w:t>of appendix A of 40 CFR 60</w:t>
      </w:r>
      <w:r w:rsidRPr="00565ED9">
        <w:rPr>
          <w:sz w:val="22"/>
          <w:szCs w:val="22"/>
        </w:rPr>
        <w:t xml:space="preserve">, Method 7A, 7C, 7D, or 7E </w:t>
      </w:r>
      <w:r w:rsidRPr="00565ED9">
        <w:rPr>
          <w:sz w:val="22"/>
          <w:szCs w:val="22"/>
          <w:highlight w:val="yellow"/>
          <w:u w:val="double"/>
        </w:rPr>
        <w:t>of appendix A of 40 CFR 60</w:t>
      </w:r>
      <w:r w:rsidRPr="00565ED9">
        <w:rPr>
          <w:sz w:val="22"/>
          <w:szCs w:val="22"/>
        </w:rPr>
        <w:t xml:space="preserve"> may be used.  If Method 7C, 7D, or 7E </w:t>
      </w:r>
      <w:r w:rsidRPr="00565ED9">
        <w:rPr>
          <w:sz w:val="22"/>
          <w:szCs w:val="22"/>
          <w:highlight w:val="yellow"/>
          <w:u w:val="double"/>
        </w:rPr>
        <w:t>of appendix A of 40 CFR 60</w:t>
      </w:r>
      <w:r w:rsidRPr="00565ED9">
        <w:rPr>
          <w:sz w:val="22"/>
          <w:szCs w:val="22"/>
        </w:rPr>
        <w:t xml:space="preserve"> is used, the sampling time for each run shall be at least 1 hour and the integrated sampling approach shall be used to determine the O2 concentration (%O</w:t>
      </w:r>
      <w:r w:rsidRPr="00565ED9">
        <w:rPr>
          <w:sz w:val="22"/>
          <w:szCs w:val="22"/>
          <w:vertAlign w:val="subscript"/>
        </w:rPr>
        <w:t>2</w:t>
      </w:r>
      <w:r w:rsidRPr="00565ED9">
        <w:rPr>
          <w:sz w:val="22"/>
          <w:szCs w:val="22"/>
        </w:rPr>
        <w:t>) for the emission rate correction factor.</w:t>
      </w:r>
    </w:p>
    <w:p w:rsidR="00565ED9" w:rsidRPr="00565ED9" w:rsidRDefault="00565ED9" w:rsidP="00CB423F">
      <w:pPr>
        <w:widowControl w:val="0"/>
        <w:numPr>
          <w:ilvl w:val="0"/>
          <w:numId w:val="21"/>
        </w:numPr>
        <w:spacing w:after="120"/>
        <w:ind w:left="1440"/>
        <w:contextualSpacing/>
        <w:rPr>
          <w:sz w:val="22"/>
        </w:rPr>
      </w:pPr>
      <w:r w:rsidRPr="00565ED9">
        <w:rPr>
          <w:sz w:val="22"/>
          <w:szCs w:val="22"/>
        </w:rPr>
        <w:t xml:space="preserve">For Method 3 </w:t>
      </w:r>
      <w:r w:rsidRPr="00565ED9">
        <w:rPr>
          <w:sz w:val="22"/>
          <w:szCs w:val="22"/>
          <w:highlight w:val="yellow"/>
          <w:u w:val="double"/>
        </w:rPr>
        <w:t>of appendix A of 40 CFR 60</w:t>
      </w:r>
      <w:r w:rsidRPr="00565ED9">
        <w:rPr>
          <w:sz w:val="22"/>
          <w:szCs w:val="22"/>
        </w:rPr>
        <w:t xml:space="preserve">, Method 3A or 3B </w:t>
      </w:r>
      <w:r w:rsidRPr="00565ED9">
        <w:rPr>
          <w:sz w:val="22"/>
          <w:szCs w:val="22"/>
          <w:highlight w:val="yellow"/>
          <w:u w:val="double"/>
        </w:rPr>
        <w:t>of appendix A of 40 CFR 60</w:t>
      </w:r>
      <w:r w:rsidRPr="00565ED9">
        <w:rPr>
          <w:sz w:val="22"/>
          <w:szCs w:val="22"/>
        </w:rPr>
        <w:t xml:space="preserve"> may be used.</w:t>
      </w:r>
    </w:p>
    <w:p w:rsidR="00565ED9" w:rsidRPr="00565ED9" w:rsidRDefault="00565ED9" w:rsidP="00CB423F">
      <w:pPr>
        <w:widowControl w:val="0"/>
        <w:numPr>
          <w:ilvl w:val="0"/>
          <w:numId w:val="21"/>
        </w:numPr>
        <w:spacing w:after="120"/>
        <w:ind w:left="1440"/>
        <w:contextualSpacing/>
        <w:rPr>
          <w:sz w:val="22"/>
        </w:rPr>
      </w:pPr>
      <w:r w:rsidRPr="00565ED9">
        <w:rPr>
          <w:sz w:val="22"/>
          <w:szCs w:val="22"/>
        </w:rPr>
        <w:t>For Method 3B</w:t>
      </w:r>
      <w:r w:rsidRPr="00565ED9">
        <w:rPr>
          <w:sz w:val="22"/>
        </w:rPr>
        <w:t xml:space="preserve"> </w:t>
      </w:r>
      <w:r w:rsidRPr="00565ED9">
        <w:rPr>
          <w:sz w:val="22"/>
          <w:szCs w:val="22"/>
          <w:highlight w:val="yellow"/>
          <w:u w:val="double"/>
        </w:rPr>
        <w:t>of appendix A of 40 CFR 60</w:t>
      </w:r>
      <w:r w:rsidRPr="00565ED9">
        <w:rPr>
          <w:sz w:val="22"/>
          <w:szCs w:val="22"/>
        </w:rPr>
        <w:t xml:space="preserve">, Method 3A </w:t>
      </w:r>
      <w:r w:rsidRPr="00565ED9">
        <w:rPr>
          <w:sz w:val="22"/>
          <w:szCs w:val="22"/>
          <w:highlight w:val="yellow"/>
          <w:u w:val="double"/>
        </w:rPr>
        <w:t>of appendix A of 40 CFR 60</w:t>
      </w:r>
      <w:r w:rsidRPr="00565ED9">
        <w:rPr>
          <w:sz w:val="22"/>
          <w:szCs w:val="22"/>
        </w:rPr>
        <w:t xml:space="preserve"> may be used.</w:t>
      </w:r>
    </w:p>
    <w:p w:rsidR="00565ED9" w:rsidRDefault="00565ED9" w:rsidP="00565ED9">
      <w:pPr>
        <w:widowControl w:val="0"/>
        <w:tabs>
          <w:tab w:val="left" w:pos="360"/>
          <w:tab w:val="left" w:pos="720"/>
          <w:tab w:val="left" w:pos="1080"/>
          <w:tab w:val="left" w:pos="1440"/>
          <w:tab w:val="right" w:pos="10080"/>
        </w:tabs>
        <w:spacing w:after="120"/>
        <w:ind w:left="720"/>
        <w:rPr>
          <w:sz w:val="22"/>
        </w:rPr>
      </w:pPr>
      <w:r w:rsidRPr="00565ED9">
        <w:rPr>
          <w:sz w:val="22"/>
        </w:rPr>
        <w:t xml:space="preserve">[40 CFR 60.46(b), (c) </w:t>
      </w:r>
      <w:r w:rsidRPr="00565ED9">
        <w:rPr>
          <w:strike/>
          <w:sz w:val="22"/>
          <w:highlight w:val="yellow"/>
        </w:rPr>
        <w:t>and</w:t>
      </w:r>
      <w:r w:rsidRPr="00565ED9">
        <w:rPr>
          <w:sz w:val="22"/>
        </w:rPr>
        <w:t xml:space="preserve"> </w:t>
      </w:r>
      <w:r w:rsidRPr="00565ED9">
        <w:rPr>
          <w:sz w:val="22"/>
          <w:highlight w:val="yellow"/>
          <w:u w:val="double"/>
        </w:rPr>
        <w:t>&amp;</w:t>
      </w:r>
      <w:r w:rsidRPr="00565ED9">
        <w:rPr>
          <w:sz w:val="22"/>
        </w:rPr>
        <w:t xml:space="preserve"> </w:t>
      </w:r>
      <w:r w:rsidRPr="00565ED9">
        <w:rPr>
          <w:sz w:val="22"/>
          <w:highlight w:val="yellow"/>
          <w:u w:val="double"/>
        </w:rPr>
        <w:t>(d)</w:t>
      </w:r>
      <w:r w:rsidRPr="00565ED9">
        <w:rPr>
          <w:sz w:val="22"/>
        </w:rPr>
        <w:t>]</w:t>
      </w:r>
    </w:p>
    <w:p w:rsidR="00565ED9" w:rsidRDefault="00565ED9" w:rsidP="00CB423F">
      <w:pPr>
        <w:pStyle w:val="ListParagraph"/>
        <w:numPr>
          <w:ilvl w:val="0"/>
          <w:numId w:val="1"/>
        </w:numPr>
        <w:tabs>
          <w:tab w:val="left" w:pos="360"/>
        </w:tabs>
        <w:spacing w:after="120"/>
        <w:contextualSpacing w:val="0"/>
        <w:rPr>
          <w:sz w:val="22"/>
          <w:szCs w:val="22"/>
        </w:rPr>
      </w:pPr>
      <w:r>
        <w:rPr>
          <w:sz w:val="22"/>
          <w:szCs w:val="22"/>
        </w:rPr>
        <w:t xml:space="preserve">Rule 62-297.400, F.A.C. no longer exists.  Reference test methods are incorporated by reference in Rule 62-204.800, F.A.C.  To reflect this, Specific Condition </w:t>
      </w:r>
      <w:r>
        <w:rPr>
          <w:b/>
          <w:sz w:val="22"/>
          <w:szCs w:val="22"/>
        </w:rPr>
        <w:t>A.46</w:t>
      </w:r>
      <w:r>
        <w:rPr>
          <w:sz w:val="22"/>
          <w:szCs w:val="22"/>
        </w:rPr>
        <w:t xml:space="preserve"> (formerly </w:t>
      </w:r>
      <w:r>
        <w:rPr>
          <w:b/>
          <w:sz w:val="22"/>
          <w:szCs w:val="22"/>
        </w:rPr>
        <w:t>A.43</w:t>
      </w:r>
      <w:r>
        <w:rPr>
          <w:sz w:val="22"/>
          <w:szCs w:val="22"/>
        </w:rPr>
        <w:t xml:space="preserve"> of Permit No. 0850001-040-AV) has been revised as follows:</w:t>
      </w:r>
    </w:p>
    <w:p w:rsidR="00565ED9" w:rsidRPr="00565ED9" w:rsidRDefault="00565ED9" w:rsidP="00CB423F">
      <w:pPr>
        <w:pStyle w:val="ListParagraph"/>
        <w:numPr>
          <w:ilvl w:val="0"/>
          <w:numId w:val="14"/>
        </w:numPr>
        <w:tabs>
          <w:tab w:val="left" w:pos="1080"/>
        </w:tabs>
        <w:spacing w:after="120"/>
        <w:ind w:left="720"/>
        <w:contextualSpacing w:val="0"/>
        <w:rPr>
          <w:sz w:val="22"/>
          <w:szCs w:val="22"/>
        </w:rPr>
      </w:pPr>
      <w:r w:rsidRPr="00565ED9">
        <w:rPr>
          <w:sz w:val="22"/>
          <w:szCs w:val="22"/>
          <w:u w:val="single"/>
        </w:rPr>
        <w:t>Test Methodology</w:t>
      </w:r>
      <w:r w:rsidRPr="00565ED9">
        <w:rPr>
          <w:sz w:val="22"/>
          <w:szCs w:val="22"/>
        </w:rPr>
        <w:t>.  All compliance tests shall be performed using reference test methods as given in 40 CFR 60, Appendix A, as adopted by reference in Rule 62-</w:t>
      </w:r>
      <w:r w:rsidRPr="00565ED9">
        <w:rPr>
          <w:strike/>
          <w:sz w:val="22"/>
          <w:szCs w:val="22"/>
          <w:highlight w:val="yellow"/>
        </w:rPr>
        <w:t>297.400</w:t>
      </w:r>
      <w:r w:rsidRPr="00565ED9">
        <w:rPr>
          <w:sz w:val="22"/>
          <w:szCs w:val="22"/>
          <w:highlight w:val="yellow"/>
          <w:u w:val="double"/>
        </w:rPr>
        <w:t>204.800</w:t>
      </w:r>
      <w:r w:rsidRPr="00565ED9">
        <w:rPr>
          <w:sz w:val="22"/>
          <w:szCs w:val="22"/>
        </w:rPr>
        <w:t>, F.A.C.  Any deviations from the test methodology in order to facilitate “representative” testing shall be approved by the Department pursuant to Rule 62-297.620, F.A.C., prior to conducting the tests.  [40 CFR 60, Appendix A; Rules 62-</w:t>
      </w:r>
      <w:r w:rsidRPr="00565ED9">
        <w:rPr>
          <w:strike/>
          <w:sz w:val="22"/>
          <w:szCs w:val="22"/>
          <w:highlight w:val="yellow"/>
        </w:rPr>
        <w:t>297.400</w:t>
      </w:r>
      <w:r w:rsidRPr="00565ED9">
        <w:rPr>
          <w:sz w:val="22"/>
          <w:szCs w:val="22"/>
          <w:highlight w:val="yellow"/>
          <w:u w:val="double"/>
        </w:rPr>
        <w:t>204.800</w:t>
      </w:r>
      <w:r w:rsidRPr="00565ED9">
        <w:rPr>
          <w:sz w:val="22"/>
          <w:szCs w:val="22"/>
        </w:rPr>
        <w:t xml:space="preserve"> &amp; 62-297.620, F.A.C.; and, Permit Nos. AO43-170568, Specific Condition 3. &amp; AO43-170567, Specific Condition 3</w:t>
      </w:r>
      <w:r w:rsidRPr="00565ED9">
        <w:rPr>
          <w:strike/>
          <w:sz w:val="22"/>
          <w:szCs w:val="22"/>
          <w:highlight w:val="yellow"/>
        </w:rPr>
        <w:t>.</w:t>
      </w:r>
      <w:r w:rsidRPr="00565ED9">
        <w:rPr>
          <w:sz w:val="22"/>
          <w:szCs w:val="22"/>
        </w:rPr>
        <w:t>]</w:t>
      </w:r>
    </w:p>
    <w:p w:rsidR="00565ED9" w:rsidRDefault="00BF65DA" w:rsidP="00CB423F">
      <w:pPr>
        <w:pStyle w:val="ListParagraph"/>
        <w:numPr>
          <w:ilvl w:val="0"/>
          <w:numId w:val="1"/>
        </w:numPr>
        <w:tabs>
          <w:tab w:val="left" w:pos="360"/>
        </w:tabs>
        <w:spacing w:after="120"/>
        <w:contextualSpacing w:val="0"/>
        <w:rPr>
          <w:sz w:val="22"/>
          <w:szCs w:val="22"/>
        </w:rPr>
      </w:pPr>
      <w:r>
        <w:rPr>
          <w:sz w:val="22"/>
          <w:szCs w:val="22"/>
        </w:rPr>
        <w:t xml:space="preserve">To reflect the approved Department request to change quarterly reporting to semiannual reporting, the revision of a CEMS reporting requirement (see item </w:t>
      </w:r>
      <w:r w:rsidRPr="00BF65DA">
        <w:rPr>
          <w:b/>
          <w:sz w:val="22"/>
          <w:szCs w:val="22"/>
        </w:rPr>
        <w:fldChar w:fldCharType="begin"/>
      </w:r>
      <w:r w:rsidRPr="00BF65DA">
        <w:rPr>
          <w:b/>
          <w:sz w:val="22"/>
          <w:szCs w:val="22"/>
        </w:rPr>
        <w:instrText xml:space="preserve"> REF _Ref520122976 \r \h </w:instrText>
      </w:r>
      <w:r>
        <w:rPr>
          <w:b/>
          <w:sz w:val="22"/>
          <w:szCs w:val="22"/>
        </w:rPr>
        <w:instrText xml:space="preserve"> \* MERGEFORMAT </w:instrText>
      </w:r>
      <w:r w:rsidRPr="00BF65DA">
        <w:rPr>
          <w:b/>
          <w:sz w:val="22"/>
          <w:szCs w:val="22"/>
        </w:rPr>
      </w:r>
      <w:r w:rsidRPr="00BF65DA">
        <w:rPr>
          <w:b/>
          <w:sz w:val="22"/>
          <w:szCs w:val="22"/>
        </w:rPr>
        <w:fldChar w:fldCharType="separate"/>
      </w:r>
      <w:r w:rsidR="00C76A61">
        <w:rPr>
          <w:b/>
          <w:sz w:val="22"/>
          <w:szCs w:val="22"/>
        </w:rPr>
        <w:t>30</w:t>
      </w:r>
      <w:r w:rsidRPr="00BF65DA">
        <w:rPr>
          <w:b/>
          <w:sz w:val="22"/>
          <w:szCs w:val="22"/>
        </w:rPr>
        <w:fldChar w:fldCharType="end"/>
      </w:r>
      <w:r>
        <w:rPr>
          <w:sz w:val="22"/>
          <w:szCs w:val="22"/>
        </w:rPr>
        <w:t xml:space="preserve">) and current Title V air operation permit format standards, Specific Condition </w:t>
      </w:r>
      <w:r>
        <w:rPr>
          <w:b/>
          <w:sz w:val="22"/>
          <w:szCs w:val="22"/>
        </w:rPr>
        <w:t>A.49</w:t>
      </w:r>
      <w:r>
        <w:rPr>
          <w:sz w:val="22"/>
          <w:szCs w:val="22"/>
        </w:rPr>
        <w:t xml:space="preserve"> (formerly </w:t>
      </w:r>
      <w:r>
        <w:rPr>
          <w:b/>
          <w:sz w:val="22"/>
          <w:szCs w:val="22"/>
        </w:rPr>
        <w:t>A.46</w:t>
      </w:r>
      <w:r>
        <w:rPr>
          <w:sz w:val="22"/>
          <w:szCs w:val="22"/>
        </w:rPr>
        <w:t xml:space="preserve"> of Permit No. 0850001-040-AV) has been revised as follows:</w:t>
      </w:r>
    </w:p>
    <w:p w:rsidR="00BF65DA" w:rsidRPr="00BF65DA" w:rsidRDefault="00BF65DA" w:rsidP="00CB423F">
      <w:pPr>
        <w:pStyle w:val="ListParagraph"/>
        <w:numPr>
          <w:ilvl w:val="0"/>
          <w:numId w:val="25"/>
        </w:numPr>
        <w:tabs>
          <w:tab w:val="left" w:pos="1080"/>
        </w:tabs>
        <w:spacing w:after="120"/>
        <w:ind w:left="720"/>
        <w:contextualSpacing w:val="0"/>
        <w:rPr>
          <w:sz w:val="22"/>
          <w:szCs w:val="22"/>
        </w:rPr>
      </w:pPr>
      <w:r w:rsidRPr="00BF65DA">
        <w:rPr>
          <w:sz w:val="22"/>
          <w:szCs w:val="22"/>
          <w:u w:val="single"/>
        </w:rPr>
        <w:t>Reporting Schedule</w:t>
      </w:r>
      <w:r w:rsidRPr="00BF65DA">
        <w:rPr>
          <w:sz w:val="22"/>
          <w:szCs w:val="22"/>
        </w:rPr>
        <w:t>.  The following reports and notifications shall be submitted to the Compliance Authority:</w:t>
      </w:r>
    </w:p>
    <w:tbl>
      <w:tblPr>
        <w:tblW w:w="9180" w:type="dxa"/>
        <w:tblInd w:w="7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657"/>
        <w:gridCol w:w="3003"/>
        <w:gridCol w:w="2520"/>
      </w:tblGrid>
      <w:tr w:rsidR="00BF65DA" w:rsidRPr="00BF65DA" w:rsidTr="00BF65DA">
        <w:tc>
          <w:tcPr>
            <w:tcW w:w="3657" w:type="dxa"/>
            <w:tcBorders>
              <w:top w:val="single" w:sz="12" w:space="0" w:color="auto"/>
              <w:bottom w:val="single" w:sz="12" w:space="0" w:color="auto"/>
            </w:tcBorders>
            <w:vAlign w:val="center"/>
          </w:tcPr>
          <w:p w:rsidR="00BF65DA" w:rsidRPr="00BF65DA" w:rsidRDefault="00BF65DA" w:rsidP="00DA381E">
            <w:pPr>
              <w:tabs>
                <w:tab w:val="left" w:pos="360"/>
                <w:tab w:val="left" w:pos="720"/>
                <w:tab w:val="left" w:pos="1080"/>
                <w:tab w:val="left" w:pos="1440"/>
                <w:tab w:val="left" w:pos="1800"/>
                <w:tab w:val="left" w:pos="2160"/>
              </w:tabs>
              <w:spacing w:line="-240" w:lineRule="auto"/>
              <w:rPr>
                <w:b/>
                <w:sz w:val="22"/>
                <w:szCs w:val="22"/>
              </w:rPr>
            </w:pPr>
            <w:r w:rsidRPr="00BF65DA">
              <w:rPr>
                <w:b/>
                <w:sz w:val="22"/>
                <w:szCs w:val="22"/>
              </w:rPr>
              <w:t>Report</w:t>
            </w:r>
          </w:p>
        </w:tc>
        <w:tc>
          <w:tcPr>
            <w:tcW w:w="3003" w:type="dxa"/>
            <w:tcBorders>
              <w:top w:val="single" w:sz="12" w:space="0" w:color="auto"/>
              <w:bottom w:val="single" w:sz="12" w:space="0" w:color="auto"/>
            </w:tcBorders>
            <w:vAlign w:val="center"/>
          </w:tcPr>
          <w:p w:rsidR="00BF65DA" w:rsidRPr="00BF65DA" w:rsidRDefault="00BF65DA" w:rsidP="00DA381E">
            <w:pPr>
              <w:tabs>
                <w:tab w:val="left" w:pos="360"/>
                <w:tab w:val="left" w:pos="720"/>
                <w:tab w:val="left" w:pos="1080"/>
                <w:tab w:val="left" w:pos="1440"/>
                <w:tab w:val="left" w:pos="1800"/>
                <w:tab w:val="left" w:pos="2160"/>
              </w:tabs>
              <w:spacing w:line="-240" w:lineRule="auto"/>
              <w:rPr>
                <w:b/>
                <w:sz w:val="22"/>
                <w:szCs w:val="22"/>
              </w:rPr>
            </w:pPr>
            <w:r w:rsidRPr="00BF65DA">
              <w:rPr>
                <w:b/>
                <w:sz w:val="22"/>
                <w:szCs w:val="22"/>
              </w:rPr>
              <w:t>Reporting Deadline</w:t>
            </w:r>
          </w:p>
        </w:tc>
        <w:tc>
          <w:tcPr>
            <w:tcW w:w="2520" w:type="dxa"/>
            <w:tcBorders>
              <w:top w:val="single" w:sz="12" w:space="0" w:color="auto"/>
              <w:bottom w:val="single" w:sz="12" w:space="0" w:color="auto"/>
            </w:tcBorders>
            <w:vAlign w:val="center"/>
          </w:tcPr>
          <w:p w:rsidR="00BF65DA" w:rsidRPr="00BF65DA" w:rsidRDefault="00BF65DA" w:rsidP="00DA381E">
            <w:pPr>
              <w:tabs>
                <w:tab w:val="left" w:pos="360"/>
                <w:tab w:val="left" w:pos="720"/>
                <w:tab w:val="left" w:pos="1080"/>
                <w:tab w:val="left" w:pos="1440"/>
                <w:tab w:val="left" w:pos="1800"/>
                <w:tab w:val="left" w:pos="2160"/>
              </w:tabs>
              <w:spacing w:line="-240" w:lineRule="auto"/>
              <w:rPr>
                <w:b/>
                <w:sz w:val="22"/>
                <w:szCs w:val="22"/>
              </w:rPr>
            </w:pPr>
            <w:r w:rsidRPr="00BF65DA">
              <w:rPr>
                <w:b/>
                <w:sz w:val="22"/>
                <w:szCs w:val="22"/>
              </w:rPr>
              <w:t>Related Condition(s)</w:t>
            </w:r>
          </w:p>
        </w:tc>
      </w:tr>
      <w:tr w:rsidR="00C76A61" w:rsidRPr="00BF65DA" w:rsidTr="00BF65DA">
        <w:tc>
          <w:tcPr>
            <w:tcW w:w="3657" w:type="dxa"/>
            <w:tcBorders>
              <w:top w:val="single" w:sz="12" w:space="0" w:color="auto"/>
            </w:tcBorders>
            <w:vAlign w:val="center"/>
          </w:tcPr>
          <w:p w:rsidR="00C76A61" w:rsidRPr="00C76A61" w:rsidRDefault="00C76A61" w:rsidP="00C76A61">
            <w:pPr>
              <w:pStyle w:val="BodyText"/>
              <w:spacing w:before="60" w:after="60"/>
              <w:ind w:right="144"/>
              <w:rPr>
                <w:sz w:val="22"/>
                <w:szCs w:val="22"/>
                <w:highlight w:val="yellow"/>
              </w:rPr>
            </w:pPr>
            <w:r w:rsidRPr="00C76A61">
              <w:rPr>
                <w:sz w:val="22"/>
                <w:szCs w:val="22"/>
              </w:rPr>
              <w:t>Notice of Operational Changes</w:t>
            </w:r>
          </w:p>
        </w:tc>
        <w:tc>
          <w:tcPr>
            <w:tcW w:w="3003" w:type="dxa"/>
            <w:tcBorders>
              <w:top w:val="single" w:sz="12" w:space="0" w:color="auto"/>
            </w:tcBorders>
            <w:vAlign w:val="center"/>
          </w:tcPr>
          <w:p w:rsidR="00C76A61" w:rsidRPr="00C76A61" w:rsidRDefault="00C76A61" w:rsidP="00C76A61">
            <w:pPr>
              <w:suppressAutoHyphens/>
              <w:spacing w:before="60" w:after="60"/>
              <w:ind w:right="144"/>
              <w:rPr>
                <w:sz w:val="22"/>
                <w:szCs w:val="22"/>
                <w:highlight w:val="yellow"/>
              </w:rPr>
            </w:pPr>
            <w:r w:rsidRPr="00C76A61">
              <w:rPr>
                <w:sz w:val="22"/>
                <w:szCs w:val="22"/>
              </w:rPr>
              <w:t>60 days prior to change.</w:t>
            </w:r>
          </w:p>
        </w:tc>
        <w:tc>
          <w:tcPr>
            <w:tcW w:w="2520" w:type="dxa"/>
            <w:tcBorders>
              <w:top w:val="single" w:sz="12" w:space="0" w:color="auto"/>
            </w:tcBorders>
            <w:vAlign w:val="center"/>
          </w:tcPr>
          <w:p w:rsidR="00C76A61" w:rsidRPr="00C76A61" w:rsidRDefault="00C76A61" w:rsidP="00C76A61">
            <w:pPr>
              <w:pStyle w:val="BodyText"/>
              <w:spacing w:before="60" w:after="60"/>
              <w:ind w:right="144"/>
              <w:rPr>
                <w:sz w:val="22"/>
                <w:szCs w:val="22"/>
                <w:highlight w:val="green"/>
              </w:rPr>
            </w:pPr>
            <w:r w:rsidRPr="00C76A61">
              <w:rPr>
                <w:b/>
                <w:strike/>
                <w:sz w:val="22"/>
                <w:szCs w:val="22"/>
                <w:highlight w:val="yellow"/>
              </w:rPr>
              <w:t>A.48</w:t>
            </w:r>
            <w:r>
              <w:rPr>
                <w:b/>
                <w:sz w:val="22"/>
                <w:szCs w:val="22"/>
                <w:highlight w:val="yellow"/>
                <w:u w:val="double"/>
              </w:rPr>
              <w:t>A.51</w:t>
            </w:r>
          </w:p>
        </w:tc>
      </w:tr>
      <w:tr w:rsidR="00C76A61" w:rsidRPr="00BF65DA" w:rsidTr="00BF65DA">
        <w:tc>
          <w:tcPr>
            <w:tcW w:w="3657" w:type="dxa"/>
            <w:vAlign w:val="center"/>
          </w:tcPr>
          <w:p w:rsidR="00C76A61" w:rsidRPr="00C76A61" w:rsidRDefault="00C76A61" w:rsidP="00C76A61">
            <w:pPr>
              <w:pStyle w:val="BodyText"/>
              <w:spacing w:before="60" w:after="60"/>
              <w:ind w:right="144"/>
              <w:rPr>
                <w:sz w:val="22"/>
                <w:szCs w:val="22"/>
                <w:highlight w:val="yellow"/>
              </w:rPr>
            </w:pPr>
            <w:r w:rsidRPr="00C76A61">
              <w:rPr>
                <w:sz w:val="22"/>
                <w:szCs w:val="22"/>
              </w:rPr>
              <w:t>NSPS Excess Emissions Reports</w:t>
            </w:r>
          </w:p>
        </w:tc>
        <w:tc>
          <w:tcPr>
            <w:tcW w:w="3003" w:type="dxa"/>
            <w:vAlign w:val="center"/>
          </w:tcPr>
          <w:p w:rsidR="00C76A61" w:rsidRPr="00C76A61" w:rsidRDefault="00C76A61" w:rsidP="00C76A61">
            <w:pPr>
              <w:suppressAutoHyphens/>
              <w:spacing w:before="60" w:after="60"/>
              <w:ind w:right="144"/>
              <w:rPr>
                <w:sz w:val="22"/>
                <w:szCs w:val="22"/>
                <w:highlight w:val="yellow"/>
              </w:rPr>
            </w:pPr>
            <w:r w:rsidRPr="00C76A61">
              <w:rPr>
                <w:sz w:val="22"/>
                <w:szCs w:val="22"/>
              </w:rPr>
              <w:t>Semi-annually</w:t>
            </w:r>
          </w:p>
        </w:tc>
        <w:tc>
          <w:tcPr>
            <w:tcW w:w="2520" w:type="dxa"/>
            <w:vAlign w:val="center"/>
          </w:tcPr>
          <w:p w:rsidR="00C76A61" w:rsidRPr="00C76A61" w:rsidRDefault="00C76A61" w:rsidP="00C76A61">
            <w:pPr>
              <w:pStyle w:val="BodyText"/>
              <w:spacing w:before="60" w:after="60"/>
              <w:ind w:right="144"/>
              <w:rPr>
                <w:strike/>
                <w:sz w:val="22"/>
                <w:szCs w:val="22"/>
                <w:highlight w:val="green"/>
              </w:rPr>
            </w:pPr>
            <w:r w:rsidRPr="00C76A61">
              <w:rPr>
                <w:b/>
                <w:strike/>
                <w:sz w:val="22"/>
                <w:szCs w:val="22"/>
                <w:highlight w:val="yellow"/>
              </w:rPr>
              <w:t>A.50</w:t>
            </w:r>
            <w:r>
              <w:rPr>
                <w:b/>
                <w:sz w:val="22"/>
                <w:szCs w:val="22"/>
                <w:highlight w:val="yellow"/>
                <w:u w:val="double"/>
              </w:rPr>
              <w:t>A.53</w:t>
            </w:r>
          </w:p>
        </w:tc>
      </w:tr>
      <w:tr w:rsidR="00C76A61" w:rsidRPr="00BF65DA" w:rsidTr="00BF65DA">
        <w:tc>
          <w:tcPr>
            <w:tcW w:w="3657" w:type="dxa"/>
            <w:vAlign w:val="center"/>
          </w:tcPr>
          <w:p w:rsidR="00C76A61" w:rsidRPr="00C76A61" w:rsidRDefault="00C76A61" w:rsidP="00C76A61">
            <w:pPr>
              <w:pStyle w:val="BodyText"/>
              <w:spacing w:before="60" w:after="60"/>
              <w:ind w:right="144"/>
              <w:rPr>
                <w:sz w:val="22"/>
                <w:szCs w:val="22"/>
                <w:highlight w:val="yellow"/>
                <w:u w:val="double"/>
              </w:rPr>
            </w:pPr>
            <w:r w:rsidRPr="00C76A61">
              <w:rPr>
                <w:sz w:val="22"/>
                <w:szCs w:val="22"/>
                <w:highlight w:val="yellow"/>
                <w:u w:val="double"/>
              </w:rPr>
              <w:t>CEMS Reports</w:t>
            </w:r>
          </w:p>
        </w:tc>
        <w:tc>
          <w:tcPr>
            <w:tcW w:w="3003" w:type="dxa"/>
            <w:vAlign w:val="center"/>
          </w:tcPr>
          <w:p w:rsidR="00C76A61" w:rsidRPr="00C76A61" w:rsidRDefault="00C76A61" w:rsidP="00C76A61">
            <w:pPr>
              <w:suppressAutoHyphens/>
              <w:spacing w:before="60" w:after="60"/>
              <w:ind w:right="144"/>
              <w:rPr>
                <w:sz w:val="22"/>
                <w:szCs w:val="22"/>
                <w:highlight w:val="yellow"/>
                <w:u w:val="double"/>
              </w:rPr>
            </w:pPr>
            <w:r w:rsidRPr="00C76A61">
              <w:rPr>
                <w:sz w:val="22"/>
                <w:szCs w:val="22"/>
                <w:highlight w:val="yellow"/>
                <w:u w:val="double"/>
              </w:rPr>
              <w:t>Semi-annually</w:t>
            </w:r>
          </w:p>
        </w:tc>
        <w:tc>
          <w:tcPr>
            <w:tcW w:w="2520" w:type="dxa"/>
            <w:vAlign w:val="center"/>
          </w:tcPr>
          <w:p w:rsidR="00C76A61" w:rsidRPr="00C76A61" w:rsidRDefault="00C76A61" w:rsidP="00C76A61">
            <w:pPr>
              <w:pStyle w:val="BodyText"/>
              <w:spacing w:before="60" w:after="60"/>
              <w:ind w:right="144"/>
              <w:rPr>
                <w:b/>
                <w:sz w:val="22"/>
                <w:szCs w:val="22"/>
                <w:highlight w:val="yellow"/>
                <w:u w:val="double"/>
              </w:rPr>
            </w:pPr>
            <w:r>
              <w:rPr>
                <w:b/>
                <w:sz w:val="22"/>
                <w:szCs w:val="22"/>
                <w:highlight w:val="yellow"/>
                <w:u w:val="double"/>
              </w:rPr>
              <w:t>A.56</w:t>
            </w:r>
          </w:p>
        </w:tc>
      </w:tr>
      <w:tr w:rsidR="00C76A61" w:rsidRPr="00BF65DA" w:rsidTr="00BF65DA">
        <w:tc>
          <w:tcPr>
            <w:tcW w:w="3657" w:type="dxa"/>
            <w:vAlign w:val="center"/>
          </w:tcPr>
          <w:p w:rsidR="00C76A61" w:rsidRPr="00C76A61" w:rsidRDefault="00C76A61" w:rsidP="00C76A61">
            <w:pPr>
              <w:pStyle w:val="BodyText"/>
              <w:spacing w:before="60" w:after="60"/>
              <w:ind w:right="144"/>
              <w:rPr>
                <w:sz w:val="22"/>
                <w:szCs w:val="22"/>
                <w:highlight w:val="yellow"/>
              </w:rPr>
            </w:pPr>
            <w:r w:rsidRPr="00C76A61">
              <w:rPr>
                <w:sz w:val="22"/>
                <w:szCs w:val="22"/>
              </w:rPr>
              <w:t>NSPS 40 CFR 60 Subpart D Reports</w:t>
            </w:r>
          </w:p>
        </w:tc>
        <w:tc>
          <w:tcPr>
            <w:tcW w:w="3003" w:type="dxa"/>
            <w:vAlign w:val="center"/>
          </w:tcPr>
          <w:p w:rsidR="00C76A61" w:rsidRPr="00C76A61" w:rsidRDefault="00C76A61" w:rsidP="00C76A61">
            <w:pPr>
              <w:suppressAutoHyphens/>
              <w:spacing w:before="60" w:after="60"/>
              <w:ind w:right="144"/>
              <w:rPr>
                <w:sz w:val="22"/>
                <w:szCs w:val="22"/>
              </w:rPr>
            </w:pPr>
            <w:r w:rsidRPr="00C76A61">
              <w:rPr>
                <w:strike/>
                <w:sz w:val="22"/>
                <w:szCs w:val="22"/>
                <w:highlight w:val="yellow"/>
              </w:rPr>
              <w:t>Quarterly</w:t>
            </w:r>
            <w:r w:rsidRPr="00C76A61">
              <w:rPr>
                <w:sz w:val="22"/>
                <w:szCs w:val="22"/>
              </w:rPr>
              <w:t xml:space="preserve"> </w:t>
            </w:r>
            <w:r w:rsidRPr="00C76A61">
              <w:rPr>
                <w:sz w:val="22"/>
                <w:szCs w:val="22"/>
                <w:highlight w:val="yellow"/>
                <w:u w:val="double"/>
              </w:rPr>
              <w:t>Semi-annually</w:t>
            </w:r>
            <w:r w:rsidRPr="00C76A61">
              <w:rPr>
                <w:sz w:val="22"/>
                <w:szCs w:val="22"/>
              </w:rPr>
              <w:t>.</w:t>
            </w:r>
          </w:p>
        </w:tc>
        <w:tc>
          <w:tcPr>
            <w:tcW w:w="2520" w:type="dxa"/>
            <w:vAlign w:val="center"/>
          </w:tcPr>
          <w:p w:rsidR="00C76A61" w:rsidRPr="00C76A61" w:rsidRDefault="00C76A61" w:rsidP="00C76A61">
            <w:pPr>
              <w:pStyle w:val="BodyText"/>
              <w:spacing w:before="60" w:after="60"/>
              <w:ind w:right="144"/>
              <w:rPr>
                <w:strike/>
                <w:sz w:val="22"/>
                <w:szCs w:val="22"/>
                <w:highlight w:val="green"/>
              </w:rPr>
            </w:pPr>
            <w:r w:rsidRPr="00C76A61">
              <w:rPr>
                <w:b/>
                <w:strike/>
                <w:sz w:val="22"/>
                <w:szCs w:val="22"/>
                <w:highlight w:val="yellow"/>
              </w:rPr>
              <w:t>A.57</w:t>
            </w:r>
            <w:r>
              <w:rPr>
                <w:b/>
                <w:sz w:val="22"/>
                <w:szCs w:val="22"/>
                <w:highlight w:val="yellow"/>
                <w:u w:val="double"/>
              </w:rPr>
              <w:t>A.61</w:t>
            </w:r>
          </w:p>
        </w:tc>
      </w:tr>
    </w:tbl>
    <w:p w:rsidR="00BF65DA" w:rsidRPr="00BF65DA" w:rsidRDefault="00BF65DA" w:rsidP="00BF65DA">
      <w:pPr>
        <w:tabs>
          <w:tab w:val="left" w:pos="0"/>
          <w:tab w:val="left" w:pos="360"/>
          <w:tab w:val="left" w:pos="720"/>
          <w:tab w:val="left" w:pos="1080"/>
          <w:tab w:val="left" w:pos="1260"/>
        </w:tabs>
        <w:spacing w:before="60" w:after="120"/>
        <w:ind w:left="360"/>
        <w:rPr>
          <w:sz w:val="22"/>
          <w:szCs w:val="22"/>
          <w:u w:val="double"/>
        </w:rPr>
      </w:pPr>
      <w:r w:rsidRPr="00BF65DA">
        <w:rPr>
          <w:sz w:val="22"/>
          <w:szCs w:val="22"/>
        </w:rPr>
        <w:tab/>
      </w:r>
      <w:r w:rsidRPr="00BF65DA">
        <w:rPr>
          <w:sz w:val="22"/>
          <w:szCs w:val="22"/>
          <w:highlight w:val="yellow"/>
          <w:u w:val="double"/>
        </w:rPr>
        <w:t>[Rule 62-213.440(1)(b), F.A.C.]</w:t>
      </w:r>
    </w:p>
    <w:p w:rsidR="00714B7F" w:rsidRDefault="00714B7F" w:rsidP="00CB423F">
      <w:pPr>
        <w:pStyle w:val="ListParagraph"/>
        <w:numPr>
          <w:ilvl w:val="0"/>
          <w:numId w:val="1"/>
        </w:numPr>
        <w:tabs>
          <w:tab w:val="left" w:pos="360"/>
        </w:tabs>
        <w:spacing w:after="120"/>
        <w:contextualSpacing w:val="0"/>
        <w:rPr>
          <w:sz w:val="22"/>
          <w:szCs w:val="22"/>
        </w:rPr>
      </w:pPr>
      <w:r>
        <w:rPr>
          <w:sz w:val="22"/>
          <w:szCs w:val="22"/>
        </w:rPr>
        <w:t xml:space="preserve">Specific Condition </w:t>
      </w:r>
      <w:r>
        <w:rPr>
          <w:b/>
          <w:sz w:val="22"/>
          <w:szCs w:val="22"/>
        </w:rPr>
        <w:t>A.56</w:t>
      </w:r>
      <w:r>
        <w:rPr>
          <w:sz w:val="22"/>
          <w:szCs w:val="22"/>
        </w:rPr>
        <w:t xml:space="preserve"> is a CEMS reporting requirement that has been deleted (see item </w:t>
      </w:r>
      <w:r w:rsidRPr="00BF65DA">
        <w:rPr>
          <w:b/>
          <w:sz w:val="22"/>
          <w:szCs w:val="22"/>
        </w:rPr>
        <w:fldChar w:fldCharType="begin"/>
      </w:r>
      <w:r w:rsidRPr="00BF65DA">
        <w:rPr>
          <w:b/>
          <w:sz w:val="22"/>
          <w:szCs w:val="22"/>
        </w:rPr>
        <w:instrText xml:space="preserve"> REF _Ref520122976 \r \h </w:instrText>
      </w:r>
      <w:r>
        <w:rPr>
          <w:b/>
          <w:sz w:val="22"/>
          <w:szCs w:val="22"/>
        </w:rPr>
        <w:instrText xml:space="preserve"> \* MERGEFORMAT </w:instrText>
      </w:r>
      <w:r w:rsidRPr="00BF65DA">
        <w:rPr>
          <w:b/>
          <w:sz w:val="22"/>
          <w:szCs w:val="22"/>
        </w:rPr>
      </w:r>
      <w:r w:rsidRPr="00BF65DA">
        <w:rPr>
          <w:b/>
          <w:sz w:val="22"/>
          <w:szCs w:val="22"/>
        </w:rPr>
        <w:fldChar w:fldCharType="separate"/>
      </w:r>
      <w:r w:rsidR="00C76A61">
        <w:rPr>
          <w:b/>
          <w:sz w:val="22"/>
          <w:szCs w:val="22"/>
        </w:rPr>
        <w:t>30</w:t>
      </w:r>
      <w:r w:rsidRPr="00BF65DA">
        <w:rPr>
          <w:b/>
          <w:sz w:val="22"/>
          <w:szCs w:val="22"/>
        </w:rPr>
        <w:fldChar w:fldCharType="end"/>
      </w:r>
      <w:r w:rsidRPr="00714B7F">
        <w:rPr>
          <w:sz w:val="22"/>
          <w:szCs w:val="22"/>
        </w:rPr>
        <w:t>)</w:t>
      </w:r>
      <w:r>
        <w:rPr>
          <w:sz w:val="22"/>
          <w:szCs w:val="22"/>
        </w:rPr>
        <w:t xml:space="preserve">, revised in accordance with Permit No. 0850001-041-AC (PSD-FL-146J &amp; 327G) and added under the </w:t>
      </w:r>
      <w:r>
        <w:rPr>
          <w:b/>
          <w:sz w:val="22"/>
          <w:szCs w:val="22"/>
          <w:u w:val="single"/>
        </w:rPr>
        <w:t>Recordkeeping and Reporting</w:t>
      </w:r>
      <w:r>
        <w:rPr>
          <w:sz w:val="22"/>
          <w:szCs w:val="22"/>
        </w:rPr>
        <w:t xml:space="preserve"> section of Section III., Subsection A. as follows:</w:t>
      </w:r>
    </w:p>
    <w:p w:rsidR="00BF65DA" w:rsidRDefault="00714B7F" w:rsidP="00CB423F">
      <w:pPr>
        <w:pStyle w:val="ListParagraph"/>
        <w:numPr>
          <w:ilvl w:val="0"/>
          <w:numId w:val="26"/>
        </w:numPr>
        <w:tabs>
          <w:tab w:val="left" w:pos="1080"/>
        </w:tabs>
        <w:spacing w:after="120"/>
        <w:ind w:left="720"/>
        <w:contextualSpacing w:val="0"/>
        <w:rPr>
          <w:sz w:val="22"/>
          <w:szCs w:val="24"/>
        </w:rPr>
      </w:pPr>
      <w:bookmarkStart w:id="16" w:name="_Ref520122644"/>
      <w:r w:rsidRPr="00714B7F">
        <w:rPr>
          <w:sz w:val="22"/>
          <w:szCs w:val="24"/>
          <w:highlight w:val="yellow"/>
          <w:u w:val="double"/>
        </w:rPr>
        <w:t>CEMS Reports.  Operation and maintenance of CEMS shall be carried out according to the requirements of 40 CFR 60; reports thereof shall be submitted to the Compliance Authority within thirty (30) days following each 6-month period in a calendar year and will include information required under 40 CFR 60.7(c).  The Department reserves the right to modify the format of the reports.  For any periods of excess emissions, as defined in 40 CFR 60.45(g), the reports shall specify the cause and corrective actions taken as well as the specific operational conditions existing (i.e., steady-state output, load charging rate; soot blowing, limiting, or air preheated steam cleaning sequences), during the period of excess emissions.  [Permit No. 0850001-041-AC (PSD-FL-146J &amp; 327G)]</w:t>
      </w:r>
      <w:bookmarkEnd w:id="16"/>
      <w:r w:rsidRPr="00714B7F">
        <w:rPr>
          <w:sz w:val="22"/>
          <w:szCs w:val="24"/>
        </w:rPr>
        <w:t xml:space="preserve">  </w:t>
      </w:r>
    </w:p>
    <w:p w:rsidR="0041652B" w:rsidRPr="0041652B" w:rsidRDefault="00714B7F" w:rsidP="00CB423F">
      <w:pPr>
        <w:pStyle w:val="ListParagraph"/>
        <w:numPr>
          <w:ilvl w:val="0"/>
          <w:numId w:val="1"/>
        </w:numPr>
        <w:tabs>
          <w:tab w:val="left" w:pos="360"/>
        </w:tabs>
        <w:spacing w:after="120"/>
        <w:contextualSpacing w:val="0"/>
        <w:rPr>
          <w:sz w:val="22"/>
          <w:szCs w:val="22"/>
        </w:rPr>
      </w:pPr>
      <w:r w:rsidRPr="0041652B">
        <w:rPr>
          <w:sz w:val="22"/>
          <w:szCs w:val="22"/>
        </w:rPr>
        <w:t xml:space="preserve">Excess emissions definitions in NSPS Subpart D were moved into the </w:t>
      </w:r>
      <w:r w:rsidRPr="0041652B">
        <w:rPr>
          <w:b/>
          <w:sz w:val="22"/>
          <w:szCs w:val="22"/>
          <w:u w:val="single"/>
        </w:rPr>
        <w:t>Excess Emissions</w:t>
      </w:r>
      <w:r w:rsidRPr="0041652B">
        <w:rPr>
          <w:sz w:val="22"/>
          <w:szCs w:val="22"/>
        </w:rPr>
        <w:t xml:space="preserve"> section of Section III., Subsection A. (see item </w:t>
      </w:r>
      <w:r w:rsidRPr="0041652B">
        <w:rPr>
          <w:b/>
          <w:sz w:val="22"/>
          <w:szCs w:val="22"/>
        </w:rPr>
        <w:fldChar w:fldCharType="begin"/>
      </w:r>
      <w:r w:rsidRPr="0041652B">
        <w:rPr>
          <w:b/>
          <w:sz w:val="22"/>
          <w:szCs w:val="22"/>
        </w:rPr>
        <w:instrText xml:space="preserve"> REF _Ref520123966 \r \h  \* MERGEFORMAT </w:instrText>
      </w:r>
      <w:r w:rsidRPr="0041652B">
        <w:rPr>
          <w:b/>
          <w:sz w:val="22"/>
          <w:szCs w:val="22"/>
        </w:rPr>
      </w:r>
      <w:r w:rsidRPr="0041652B">
        <w:rPr>
          <w:b/>
          <w:sz w:val="22"/>
          <w:szCs w:val="22"/>
        </w:rPr>
        <w:fldChar w:fldCharType="separate"/>
      </w:r>
      <w:r w:rsidR="00C76A61">
        <w:rPr>
          <w:b/>
          <w:sz w:val="22"/>
          <w:szCs w:val="22"/>
        </w:rPr>
        <w:t>24</w:t>
      </w:r>
      <w:r w:rsidRPr="0041652B">
        <w:rPr>
          <w:b/>
          <w:sz w:val="22"/>
          <w:szCs w:val="22"/>
        </w:rPr>
        <w:fldChar w:fldCharType="end"/>
      </w:r>
      <w:r w:rsidRPr="0041652B">
        <w:rPr>
          <w:sz w:val="22"/>
          <w:szCs w:val="22"/>
        </w:rPr>
        <w:t xml:space="preserve">) and removed from Specific Condition </w:t>
      </w:r>
      <w:r w:rsidRPr="0041652B">
        <w:rPr>
          <w:b/>
          <w:sz w:val="22"/>
          <w:szCs w:val="22"/>
        </w:rPr>
        <w:t>A.61</w:t>
      </w:r>
      <w:r w:rsidRPr="0041652B">
        <w:rPr>
          <w:sz w:val="22"/>
          <w:szCs w:val="22"/>
        </w:rPr>
        <w:t xml:space="preserve"> (formerly </w:t>
      </w:r>
      <w:r w:rsidRPr="0041652B">
        <w:rPr>
          <w:b/>
          <w:sz w:val="22"/>
          <w:szCs w:val="22"/>
        </w:rPr>
        <w:t>A.57</w:t>
      </w:r>
      <w:r w:rsidRPr="0041652B">
        <w:rPr>
          <w:sz w:val="22"/>
          <w:szCs w:val="22"/>
        </w:rPr>
        <w:t xml:space="preserve"> of Permit No. 0850001-040-AV).</w:t>
      </w:r>
      <w:r w:rsidR="0041652B" w:rsidRPr="0041652B">
        <w:rPr>
          <w:sz w:val="22"/>
          <w:szCs w:val="22"/>
        </w:rPr>
        <w:t xml:space="preserve">  This condition has been revised as follows:</w:t>
      </w:r>
    </w:p>
    <w:p w:rsidR="0041652B" w:rsidRPr="0041652B" w:rsidRDefault="0041652B" w:rsidP="00CB423F">
      <w:pPr>
        <w:numPr>
          <w:ilvl w:val="0"/>
          <w:numId w:val="27"/>
        </w:numPr>
        <w:tabs>
          <w:tab w:val="clear" w:pos="1836"/>
          <w:tab w:val="left" w:pos="1080"/>
        </w:tabs>
        <w:suppressAutoHyphens/>
        <w:ind w:left="720" w:hanging="360"/>
        <w:rPr>
          <w:sz w:val="22"/>
          <w:szCs w:val="22"/>
        </w:rPr>
      </w:pPr>
      <w:bookmarkStart w:id="17" w:name="_Ref504049430"/>
      <w:r w:rsidRPr="0041652B">
        <w:rPr>
          <w:sz w:val="22"/>
          <w:szCs w:val="22"/>
          <w:u w:val="single"/>
        </w:rPr>
        <w:t>NSPS Subpart D Requirements</w:t>
      </w:r>
      <w:r w:rsidRPr="0041652B">
        <w:rPr>
          <w:sz w:val="22"/>
          <w:szCs w:val="22"/>
        </w:rPr>
        <w:t xml:space="preserve">.  Excess emission and monitoring system performance (MSP) reports shall be submitted to the </w:t>
      </w:r>
      <w:r w:rsidRPr="0041652B">
        <w:rPr>
          <w:strike/>
          <w:sz w:val="22"/>
          <w:szCs w:val="22"/>
          <w:highlight w:val="yellow"/>
        </w:rPr>
        <w:t>Administrator</w:t>
      </w:r>
      <w:r w:rsidRPr="0041652B">
        <w:rPr>
          <w:sz w:val="22"/>
          <w:szCs w:val="22"/>
        </w:rPr>
        <w:t xml:space="preserve"> </w:t>
      </w:r>
      <w:r w:rsidRPr="0041652B">
        <w:rPr>
          <w:sz w:val="22"/>
          <w:szCs w:val="22"/>
          <w:highlight w:val="yellow"/>
          <w:u w:val="double"/>
        </w:rPr>
        <w:t>Department</w:t>
      </w:r>
      <w:r w:rsidRPr="0041652B">
        <w:rPr>
          <w:sz w:val="22"/>
          <w:szCs w:val="22"/>
        </w:rPr>
        <w:t xml:space="preserve"> for every </w:t>
      </w:r>
      <w:r w:rsidRPr="0041652B">
        <w:rPr>
          <w:strike/>
          <w:sz w:val="22"/>
          <w:szCs w:val="22"/>
          <w:highlight w:val="yellow"/>
        </w:rPr>
        <w:t>calendar quarter</w:t>
      </w:r>
      <w:r w:rsidRPr="0041652B">
        <w:rPr>
          <w:sz w:val="22"/>
          <w:szCs w:val="22"/>
        </w:rPr>
        <w:t xml:space="preserve"> </w:t>
      </w:r>
      <w:r w:rsidRPr="0041652B">
        <w:rPr>
          <w:sz w:val="22"/>
          <w:szCs w:val="22"/>
          <w:highlight w:val="yellow"/>
          <w:u w:val="double"/>
        </w:rPr>
        <w:t>6-month period in a calendar year</w:t>
      </w:r>
      <w:r w:rsidRPr="0041652B">
        <w:rPr>
          <w:sz w:val="22"/>
          <w:szCs w:val="22"/>
        </w:rPr>
        <w:t xml:space="preserve">.  All quarterly reports shall be postmarked by the 30th day following the end of each </w:t>
      </w:r>
      <w:r w:rsidRPr="0041652B">
        <w:rPr>
          <w:strike/>
          <w:sz w:val="22"/>
          <w:szCs w:val="22"/>
          <w:highlight w:val="yellow"/>
        </w:rPr>
        <w:t>calendar quarter</w:t>
      </w:r>
      <w:r w:rsidRPr="0041652B">
        <w:rPr>
          <w:sz w:val="22"/>
          <w:szCs w:val="22"/>
        </w:rPr>
        <w:t xml:space="preserve"> </w:t>
      </w:r>
      <w:r w:rsidRPr="0041652B">
        <w:rPr>
          <w:sz w:val="22"/>
          <w:szCs w:val="22"/>
          <w:highlight w:val="yellow"/>
          <w:u w:val="double"/>
        </w:rPr>
        <w:t>6-month period in a calendar year</w:t>
      </w:r>
      <w:r w:rsidRPr="0041652B">
        <w:rPr>
          <w:sz w:val="22"/>
          <w:szCs w:val="22"/>
        </w:rPr>
        <w:t xml:space="preserve">.  Each excess emission and MSP report shall include the information required in 40 CFR 60.7(c).  </w:t>
      </w:r>
      <w:r w:rsidRPr="0041652B">
        <w:rPr>
          <w:strike/>
          <w:sz w:val="22"/>
          <w:szCs w:val="22"/>
          <w:highlight w:val="yellow"/>
        </w:rPr>
        <w:t>Periods of excess emissions and monitoring systems (MS) downtime that shall be reported are defined as follows:</w:t>
      </w:r>
      <w:bookmarkEnd w:id="17"/>
    </w:p>
    <w:p w:rsidR="0041652B" w:rsidRPr="0041652B" w:rsidRDefault="0041652B" w:rsidP="0041652B">
      <w:pPr>
        <w:ind w:left="1080" w:hanging="360"/>
        <w:rPr>
          <w:strike/>
          <w:sz w:val="22"/>
          <w:szCs w:val="22"/>
          <w:highlight w:val="yellow"/>
        </w:rPr>
      </w:pPr>
      <w:r w:rsidRPr="0041652B">
        <w:rPr>
          <w:strike/>
          <w:sz w:val="22"/>
          <w:szCs w:val="22"/>
          <w:highlight w:val="yellow"/>
        </w:rPr>
        <w:t>a.</w:t>
      </w:r>
      <w:r w:rsidRPr="0041652B">
        <w:rPr>
          <w:strike/>
          <w:sz w:val="22"/>
          <w:szCs w:val="22"/>
          <w:highlight w:val="yellow"/>
        </w:rPr>
        <w:tab/>
      </w:r>
      <w:r w:rsidRPr="0041652B">
        <w:rPr>
          <w:i/>
          <w:strike/>
          <w:sz w:val="22"/>
          <w:szCs w:val="22"/>
          <w:highlight w:val="yellow"/>
        </w:rPr>
        <w:t>Opacity.</w:t>
      </w:r>
      <w:r w:rsidRPr="0041652B">
        <w:rPr>
          <w:strike/>
          <w:sz w:val="22"/>
          <w:szCs w:val="22"/>
          <w:highlight w:val="yellow"/>
        </w:rPr>
        <w:t xml:space="preserve">  Excess emissions are defined as any six-minute period during which the average opacity of emissions exceeds 20 percent opacity, except that one six-minute average per hour of up to 27 percent opacity need not be reported.</w:t>
      </w:r>
    </w:p>
    <w:p w:rsidR="0041652B" w:rsidRPr="0041652B" w:rsidRDefault="0041652B" w:rsidP="0041652B">
      <w:pPr>
        <w:ind w:left="1080" w:hanging="360"/>
        <w:rPr>
          <w:strike/>
          <w:sz w:val="22"/>
          <w:szCs w:val="22"/>
          <w:highlight w:val="yellow"/>
        </w:rPr>
      </w:pPr>
      <w:r w:rsidRPr="0041652B">
        <w:rPr>
          <w:strike/>
          <w:sz w:val="22"/>
          <w:szCs w:val="22"/>
          <w:highlight w:val="yellow"/>
        </w:rPr>
        <w:t>b.</w:t>
      </w:r>
      <w:r w:rsidRPr="0041652B">
        <w:rPr>
          <w:strike/>
          <w:sz w:val="22"/>
          <w:szCs w:val="22"/>
          <w:highlight w:val="yellow"/>
        </w:rPr>
        <w:tab/>
      </w:r>
      <w:r w:rsidRPr="0041652B">
        <w:rPr>
          <w:i/>
          <w:strike/>
          <w:sz w:val="22"/>
          <w:szCs w:val="22"/>
          <w:highlight w:val="yellow"/>
        </w:rPr>
        <w:t>Sulfur Dioxide</w:t>
      </w:r>
      <w:r w:rsidRPr="0041652B">
        <w:rPr>
          <w:strike/>
          <w:sz w:val="22"/>
          <w:szCs w:val="22"/>
          <w:highlight w:val="yellow"/>
        </w:rPr>
        <w:t>.  Excess emissions for affected facilities are defined as any three-hour period during which the average emissions (arithmetic average of three contiguous one-hour periods) of sulfur dioxide as measured by a continuous monitoring system exceed the applicable standard under 40 CFR 60.43.</w:t>
      </w:r>
    </w:p>
    <w:p w:rsidR="0041652B" w:rsidRPr="0041652B" w:rsidRDefault="0041652B" w:rsidP="0041652B">
      <w:pPr>
        <w:ind w:left="1080" w:hanging="360"/>
        <w:rPr>
          <w:strike/>
          <w:sz w:val="22"/>
          <w:szCs w:val="22"/>
        </w:rPr>
      </w:pPr>
      <w:r w:rsidRPr="0041652B">
        <w:rPr>
          <w:strike/>
          <w:sz w:val="22"/>
          <w:szCs w:val="22"/>
          <w:highlight w:val="yellow"/>
        </w:rPr>
        <w:t>c.</w:t>
      </w:r>
      <w:r w:rsidRPr="0041652B">
        <w:rPr>
          <w:i/>
          <w:strike/>
          <w:sz w:val="22"/>
          <w:szCs w:val="22"/>
          <w:highlight w:val="yellow"/>
        </w:rPr>
        <w:tab/>
        <w:t>Nitrogen Oxides</w:t>
      </w:r>
      <w:r w:rsidRPr="0041652B">
        <w:rPr>
          <w:strike/>
          <w:sz w:val="22"/>
          <w:szCs w:val="22"/>
          <w:highlight w:val="yellow"/>
        </w:rPr>
        <w:t>.  Excess emissions for affected facilities using a continuous monitoring system for measuring nitrogen oxides are defined as any three-hour period during which the average emissions (arithmetic average of three contiguous one-hour periods) exceed the applicable standards under 40 CFR 60.44.</w:t>
      </w:r>
    </w:p>
    <w:p w:rsidR="00714B7F" w:rsidRPr="0041652B" w:rsidRDefault="0041652B" w:rsidP="0041652B">
      <w:pPr>
        <w:spacing w:after="120"/>
        <w:ind w:left="720"/>
        <w:rPr>
          <w:sz w:val="22"/>
          <w:szCs w:val="22"/>
        </w:rPr>
      </w:pPr>
      <w:r w:rsidRPr="0041652B">
        <w:rPr>
          <w:sz w:val="22"/>
          <w:szCs w:val="22"/>
        </w:rPr>
        <w:t>[40 CFR 60.45(g)</w:t>
      </w:r>
      <w:r w:rsidRPr="0041652B">
        <w:rPr>
          <w:strike/>
          <w:sz w:val="22"/>
          <w:szCs w:val="22"/>
          <w:highlight w:val="yellow"/>
        </w:rPr>
        <w:t>(1), (2), &amp; (3)</w:t>
      </w:r>
      <w:r w:rsidRPr="0041652B">
        <w:rPr>
          <w:sz w:val="22"/>
          <w:szCs w:val="22"/>
        </w:rPr>
        <w:t>]</w:t>
      </w:r>
    </w:p>
    <w:p w:rsidR="0041652B" w:rsidRPr="0041652B" w:rsidRDefault="0041652B" w:rsidP="00CB423F">
      <w:pPr>
        <w:pStyle w:val="ListParagraph"/>
        <w:numPr>
          <w:ilvl w:val="0"/>
          <w:numId w:val="1"/>
        </w:numPr>
        <w:tabs>
          <w:tab w:val="left" w:pos="360"/>
        </w:tabs>
        <w:spacing w:after="120"/>
        <w:contextualSpacing w:val="0"/>
        <w:rPr>
          <w:sz w:val="22"/>
          <w:szCs w:val="22"/>
        </w:rPr>
      </w:pPr>
      <w:r w:rsidRPr="0041652B">
        <w:rPr>
          <w:sz w:val="22"/>
          <w:szCs w:val="22"/>
        </w:rPr>
        <w:t xml:space="preserve">Specific Condition </w:t>
      </w:r>
      <w:r w:rsidRPr="0041652B">
        <w:rPr>
          <w:b/>
          <w:sz w:val="22"/>
          <w:szCs w:val="22"/>
        </w:rPr>
        <w:t>A.5</w:t>
      </w:r>
      <w:r w:rsidRPr="0041652B">
        <w:rPr>
          <w:sz w:val="22"/>
          <w:szCs w:val="22"/>
        </w:rPr>
        <w:t xml:space="preserve"> has been deleted, revised and reinserted as Specific Condition </w:t>
      </w:r>
      <w:r w:rsidRPr="0041652B">
        <w:rPr>
          <w:b/>
          <w:sz w:val="22"/>
          <w:szCs w:val="22"/>
        </w:rPr>
        <w:t>A.62</w:t>
      </w:r>
      <w:r w:rsidRPr="0041652B">
        <w:rPr>
          <w:sz w:val="22"/>
          <w:szCs w:val="22"/>
        </w:rPr>
        <w:t>, which appears as follows:</w:t>
      </w:r>
    </w:p>
    <w:p w:rsidR="0041652B" w:rsidRPr="0041652B" w:rsidRDefault="0041652B" w:rsidP="0041652B">
      <w:pPr>
        <w:suppressAutoHyphens/>
        <w:spacing w:after="120"/>
        <w:ind w:left="360"/>
        <w:rPr>
          <w:b/>
          <w:spacing w:val="-3"/>
          <w:sz w:val="22"/>
          <w:szCs w:val="22"/>
          <w:highlight w:val="yellow"/>
          <w:u w:val="double"/>
        </w:rPr>
      </w:pPr>
      <w:r w:rsidRPr="0041652B">
        <w:rPr>
          <w:b/>
          <w:spacing w:val="-3"/>
          <w:sz w:val="22"/>
          <w:szCs w:val="22"/>
          <w:highlight w:val="yellow"/>
          <w:u w:val="double"/>
        </w:rPr>
        <w:t>Other Requirements</w:t>
      </w:r>
    </w:p>
    <w:p w:rsidR="0041652B" w:rsidRPr="0041652B" w:rsidRDefault="0041652B" w:rsidP="00CB423F">
      <w:pPr>
        <w:numPr>
          <w:ilvl w:val="0"/>
          <w:numId w:val="27"/>
        </w:numPr>
        <w:tabs>
          <w:tab w:val="clear" w:pos="1836"/>
          <w:tab w:val="left" w:pos="1080"/>
        </w:tabs>
        <w:suppressAutoHyphens/>
        <w:spacing w:after="120"/>
        <w:ind w:left="720" w:hanging="360"/>
        <w:rPr>
          <w:spacing w:val="-3"/>
          <w:sz w:val="22"/>
          <w:szCs w:val="22"/>
          <w:highlight w:val="yellow"/>
          <w:u w:val="double"/>
        </w:rPr>
      </w:pPr>
      <w:r w:rsidRPr="0041652B">
        <w:rPr>
          <w:sz w:val="22"/>
          <w:szCs w:val="22"/>
          <w:highlight w:val="yellow"/>
          <w:u w:val="double"/>
        </w:rPr>
        <w:t>NSPS Requirements.  These emissions units are subject to the performance and monitoring requirements of the New Source Performance Standards for Subparts A and D in 40 CFR 60.  For completeness, the provisions of Subparts A and D are included in the Appendices of this permit.  [Rule 62-204.800, F.A.C. and 40 CFR 60, Subpart D]</w:t>
      </w:r>
    </w:p>
    <w:p w:rsidR="0041652B" w:rsidRDefault="0041652B" w:rsidP="00CB423F">
      <w:pPr>
        <w:pStyle w:val="ListParagraph"/>
        <w:numPr>
          <w:ilvl w:val="0"/>
          <w:numId w:val="1"/>
        </w:numPr>
        <w:tabs>
          <w:tab w:val="left" w:pos="360"/>
        </w:tabs>
        <w:spacing w:after="120"/>
        <w:contextualSpacing w:val="0"/>
        <w:rPr>
          <w:sz w:val="22"/>
          <w:szCs w:val="22"/>
        </w:rPr>
      </w:pPr>
      <w:r>
        <w:rPr>
          <w:sz w:val="22"/>
          <w:szCs w:val="22"/>
        </w:rPr>
        <w:t xml:space="preserve">A discussion of NESHAP Subpart UUUUU applicability now appears under the EU description.  To eliminate redundant and outdated language, the first paragraph of Specific Condition </w:t>
      </w:r>
      <w:r>
        <w:rPr>
          <w:b/>
          <w:sz w:val="22"/>
          <w:szCs w:val="22"/>
        </w:rPr>
        <w:t>A.63</w:t>
      </w:r>
      <w:r>
        <w:rPr>
          <w:sz w:val="22"/>
          <w:szCs w:val="22"/>
        </w:rPr>
        <w:t xml:space="preserve"> (formerly </w:t>
      </w:r>
      <w:r>
        <w:rPr>
          <w:b/>
          <w:sz w:val="22"/>
          <w:szCs w:val="22"/>
        </w:rPr>
        <w:t>A.58</w:t>
      </w:r>
      <w:r>
        <w:rPr>
          <w:sz w:val="22"/>
          <w:szCs w:val="22"/>
        </w:rPr>
        <w:t xml:space="preserve"> of Permit No. 0850001-040-AV) has been revised as follows:</w:t>
      </w:r>
    </w:p>
    <w:p w:rsidR="0041652B" w:rsidRPr="0041652B" w:rsidRDefault="0041652B" w:rsidP="00CB423F">
      <w:pPr>
        <w:numPr>
          <w:ilvl w:val="0"/>
          <w:numId w:val="27"/>
        </w:numPr>
        <w:tabs>
          <w:tab w:val="clear" w:pos="1836"/>
          <w:tab w:val="left" w:pos="1080"/>
        </w:tabs>
        <w:suppressAutoHyphens/>
        <w:ind w:left="720" w:hanging="360"/>
        <w:rPr>
          <w:sz w:val="22"/>
          <w:szCs w:val="22"/>
        </w:rPr>
      </w:pPr>
      <w:r w:rsidRPr="0041652B">
        <w:rPr>
          <w:sz w:val="22"/>
          <w:szCs w:val="22"/>
          <w:u w:val="single"/>
        </w:rPr>
        <w:t>Subpart UUUUU Requirements</w:t>
      </w:r>
      <w:r w:rsidRPr="0041652B">
        <w:rPr>
          <w:sz w:val="22"/>
          <w:szCs w:val="22"/>
        </w:rPr>
        <w:t>.  In addition to the emissions limits shown above, if either unit meets the definition of an oil-fired electric utility steam generating unit in Subpart UUUUU, the permittee shall for that unit also comply with the following emissions limits as applicable, and other Subpart UUUUU requirements</w:t>
      </w:r>
      <w:r w:rsidRPr="0041652B">
        <w:rPr>
          <w:strike/>
          <w:sz w:val="22"/>
          <w:szCs w:val="22"/>
          <w:highlight w:val="yellow"/>
        </w:rPr>
        <w:t xml:space="preserve"> based on a compliance date no later than April 16, 2015,</w:t>
      </w:r>
      <w:r w:rsidRPr="0041652B">
        <w:rPr>
          <w:sz w:val="22"/>
          <w:szCs w:val="22"/>
        </w:rPr>
        <w:t xml:space="preserve"> with</w:t>
      </w:r>
      <w:r w:rsidRPr="0041652B">
        <w:rPr>
          <w:sz w:val="22"/>
          <w:szCs w:val="22"/>
          <w:highlight w:val="yellow"/>
          <w:u w:val="double"/>
        </w:rPr>
        <w:t>in</w:t>
      </w:r>
      <w:r w:rsidRPr="0041652B">
        <w:rPr>
          <w:sz w:val="22"/>
          <w:szCs w:val="22"/>
        </w:rPr>
        <w:t xml:space="preserve"> a 180</w:t>
      </w:r>
      <w:r w:rsidRPr="0041652B">
        <w:rPr>
          <w:sz w:val="22"/>
          <w:szCs w:val="22"/>
          <w:highlight w:val="yellow"/>
          <w:u w:val="double"/>
        </w:rPr>
        <w:t>-</w:t>
      </w:r>
      <w:r w:rsidRPr="0041652B">
        <w:rPr>
          <w:sz w:val="22"/>
          <w:szCs w:val="22"/>
        </w:rPr>
        <w:t xml:space="preserve">day period following that date to demonstrate compliance.  The permittee must also meet all the applicable requirements of NESHAP 40 CFR 63, Subpart A – General Provisions which is included in Appendix NESHAP, Subpart A:  General Provisions. </w:t>
      </w:r>
    </w:p>
    <w:p w:rsidR="0041652B" w:rsidRDefault="0041652B" w:rsidP="0041652B">
      <w:pPr>
        <w:tabs>
          <w:tab w:val="left" w:pos="1080"/>
        </w:tabs>
        <w:suppressAutoHyphens/>
        <w:spacing w:after="120"/>
        <w:ind w:left="360"/>
        <w:rPr>
          <w:strike/>
          <w:sz w:val="22"/>
          <w:szCs w:val="22"/>
          <w:highlight w:val="yellow"/>
        </w:rPr>
      </w:pPr>
      <w:r w:rsidRPr="0041652B">
        <w:rPr>
          <w:strike/>
          <w:sz w:val="22"/>
          <w:szCs w:val="22"/>
          <w:highlight w:val="yellow"/>
        </w:rPr>
        <w:t>Note:  A unit meeting the definition for “natural gas-fired electric utility steam generating unit” is not subject to Subpart UUUUU [63.9983(b)]. “Natural gas-fired electric utility steam generating unit” means an electric utility steam generating unit meeting the definition of “fossil fuel-fired” that is not a coal-fired, oil-fired, or IGCC electric utility steam generating unit and that burns natural gas for more than 10.0 percent of the average annual heat input during any 3 consecutive calendar years or for more than 15.0 percent of the annual heat input during any one calendar year.</w:t>
      </w:r>
    </w:p>
    <w:p w:rsidR="0041652B" w:rsidRDefault="0041652B" w:rsidP="00CB423F">
      <w:pPr>
        <w:pStyle w:val="ListParagraph"/>
        <w:numPr>
          <w:ilvl w:val="0"/>
          <w:numId w:val="1"/>
        </w:numPr>
        <w:tabs>
          <w:tab w:val="left" w:pos="360"/>
        </w:tabs>
        <w:spacing w:after="120"/>
        <w:contextualSpacing w:val="0"/>
        <w:rPr>
          <w:sz w:val="22"/>
          <w:szCs w:val="22"/>
        </w:rPr>
      </w:pPr>
      <w:r>
        <w:rPr>
          <w:sz w:val="22"/>
          <w:szCs w:val="22"/>
        </w:rPr>
        <w:t xml:space="preserve">Pursuant to 40 CFR 63.7491(a), </w:t>
      </w:r>
      <w:r w:rsidR="002C5F32">
        <w:rPr>
          <w:sz w:val="22"/>
          <w:szCs w:val="22"/>
        </w:rPr>
        <w:t xml:space="preserve">EU Nos. 001 and 002 are not subject to 40 CFR 63, Subpart DDDDD and cannot be subject to this subpart as long as they are defined as “oil-fired electric utility steam generating units” or “natural-gas-fired electric utility steam generating units” in accordance with NESHAP Subpart UUUUU.  Therefore, Specific Condition </w:t>
      </w:r>
      <w:r w:rsidR="002C5F32">
        <w:rPr>
          <w:b/>
          <w:sz w:val="22"/>
          <w:szCs w:val="22"/>
        </w:rPr>
        <w:t>A.64</w:t>
      </w:r>
      <w:r w:rsidR="002C5F32">
        <w:rPr>
          <w:sz w:val="22"/>
          <w:szCs w:val="22"/>
        </w:rPr>
        <w:t xml:space="preserve"> (formerly </w:t>
      </w:r>
      <w:r w:rsidR="002C5F32">
        <w:rPr>
          <w:b/>
          <w:sz w:val="22"/>
          <w:szCs w:val="22"/>
        </w:rPr>
        <w:t>A.58</w:t>
      </w:r>
      <w:r w:rsidR="002C5F32">
        <w:rPr>
          <w:sz w:val="22"/>
          <w:szCs w:val="22"/>
        </w:rPr>
        <w:t xml:space="preserve"> of Permit No. 0850001-040-AV) has been deleted.  </w:t>
      </w:r>
    </w:p>
    <w:p w:rsidR="00DA381E" w:rsidRDefault="00DA381E" w:rsidP="00DA381E">
      <w:pPr>
        <w:tabs>
          <w:tab w:val="left" w:pos="360"/>
        </w:tabs>
        <w:spacing w:after="120"/>
        <w:rPr>
          <w:b/>
          <w:sz w:val="22"/>
          <w:szCs w:val="22"/>
          <w:u w:val="single"/>
        </w:rPr>
      </w:pPr>
      <w:r>
        <w:rPr>
          <w:b/>
          <w:sz w:val="22"/>
          <w:szCs w:val="22"/>
          <w:u w:val="single"/>
        </w:rPr>
        <w:t>Changes to Section III., Subsection B</w:t>
      </w:r>
    </w:p>
    <w:p w:rsidR="00DA381E" w:rsidRPr="00C302E0" w:rsidRDefault="005E258B" w:rsidP="00CB423F">
      <w:pPr>
        <w:pStyle w:val="ListParagraph"/>
        <w:numPr>
          <w:ilvl w:val="0"/>
          <w:numId w:val="1"/>
        </w:numPr>
        <w:tabs>
          <w:tab w:val="left" w:pos="360"/>
        </w:tabs>
        <w:spacing w:after="120"/>
        <w:contextualSpacing w:val="0"/>
        <w:rPr>
          <w:sz w:val="22"/>
          <w:szCs w:val="22"/>
        </w:rPr>
      </w:pPr>
      <w:r w:rsidRPr="00C302E0">
        <w:rPr>
          <w:sz w:val="22"/>
          <w:szCs w:val="22"/>
        </w:rPr>
        <w:t>Clarifications were made to the EU description, which has been revised as follows:</w:t>
      </w:r>
    </w:p>
    <w:p w:rsidR="005E258B" w:rsidRPr="00C302E0" w:rsidRDefault="005E258B" w:rsidP="005E258B">
      <w:pPr>
        <w:spacing w:before="120" w:after="120"/>
        <w:ind w:left="360"/>
        <w:rPr>
          <w:sz w:val="22"/>
          <w:szCs w:val="22"/>
        </w:rPr>
      </w:pPr>
      <w:r w:rsidRPr="00C302E0">
        <w:rPr>
          <w:strike/>
          <w:sz w:val="22"/>
          <w:szCs w:val="22"/>
          <w:highlight w:val="yellow"/>
        </w:rPr>
        <w:t>All four combined cycle CT units are identical in configuration.</w:t>
      </w:r>
      <w:r w:rsidRPr="00C302E0">
        <w:rPr>
          <w:sz w:val="22"/>
          <w:szCs w:val="22"/>
        </w:rPr>
        <w:t xml:space="preserve">  </w:t>
      </w:r>
      <w:r w:rsidRPr="00C302E0">
        <w:rPr>
          <w:sz w:val="22"/>
          <w:szCs w:val="22"/>
          <w:highlight w:val="yellow"/>
          <w:u w:val="double"/>
        </w:rPr>
        <w:t>All four CTs are identical General Electric (GE) Model MS7001FA CT-electrical generators.  CTs 3A and 4A are paired with CTs 3B and 4B, respectively, in a pair of “two-on-one” arrangements.  A common steam turbine electrical generator (STEG) is shared by each pair of CTs.  Exhaust from each pair vents through an unfired HRSG to produce steam, which is vented through the STEG.</w:t>
      </w:r>
      <w:r w:rsidRPr="00C302E0">
        <w:rPr>
          <w:sz w:val="22"/>
          <w:szCs w:val="22"/>
        </w:rPr>
        <w:t xml:space="preserve">  NO</w:t>
      </w:r>
      <w:r w:rsidRPr="00C302E0">
        <w:rPr>
          <w:sz w:val="22"/>
          <w:szCs w:val="22"/>
          <w:vertAlign w:val="subscript"/>
        </w:rPr>
        <w:t>X</w:t>
      </w:r>
      <w:r w:rsidRPr="00C302E0">
        <w:rPr>
          <w:sz w:val="22"/>
          <w:szCs w:val="22"/>
        </w:rPr>
        <w:t xml:space="preserve"> emissions are controlled by using dry low NO</w:t>
      </w:r>
      <w:r w:rsidRPr="00C302E0">
        <w:rPr>
          <w:sz w:val="22"/>
          <w:szCs w:val="22"/>
          <w:vertAlign w:val="subscript"/>
        </w:rPr>
        <w:t>X</w:t>
      </w:r>
      <w:r w:rsidRPr="00C302E0">
        <w:rPr>
          <w:sz w:val="22"/>
          <w:szCs w:val="22"/>
        </w:rPr>
        <w:t xml:space="preserve"> (DLN) combustors for natural gas with steam injection for fuel oil firing.  Steam injection is also used for power augmentation.  Inlet foggers installed at the compressor inlet to each of the four CT units reduce the turbine inlet air temperature.  The temperature reduction improves the heat rate and increases power due to the cooler/denser inlet air.  Duct modules suitable for future installation of selective catalytic reduction (SCR) equipment have been installed on each combined cycle generating unit.  CT 3A and CT 3B commenced commercial operation in February 1994.  CT 4A and CT 4B commenced commercial operation in April 1994.  For all CT, the stack parameters are:  stack heights 213 feet; stack diameter 20 feet; flow rate 2,420,307 acfm at 280ºF; and exit velocity 128.4 fps.</w:t>
      </w:r>
    </w:p>
    <w:p w:rsidR="005E258B" w:rsidRPr="00C302E0" w:rsidRDefault="005E258B" w:rsidP="005E258B">
      <w:pPr>
        <w:tabs>
          <w:tab w:val="left" w:pos="0"/>
        </w:tabs>
        <w:suppressAutoHyphens/>
        <w:spacing w:before="120" w:after="120"/>
        <w:ind w:left="360"/>
        <w:jc w:val="both"/>
        <w:rPr>
          <w:sz w:val="22"/>
          <w:szCs w:val="22"/>
        </w:rPr>
      </w:pPr>
      <w:r w:rsidRPr="00C302E0">
        <w:rPr>
          <w:sz w:val="22"/>
          <w:szCs w:val="22"/>
        </w:rPr>
        <w:t>CAM is not applicable to these CT’s since DLN combustors when firing natural gas are not considered a pollution control device under 40 CFR 64.  When firing distillate fuel oil, compliance with the emissions limits are determined using CEMS data, and therefore the requirements of CAM are not required.</w:t>
      </w:r>
    </w:p>
    <w:p w:rsidR="00EA113F" w:rsidRPr="00EA113F" w:rsidRDefault="00EA113F" w:rsidP="00EA113F">
      <w:pPr>
        <w:tabs>
          <w:tab w:val="left" w:pos="0"/>
        </w:tabs>
        <w:suppressAutoHyphens/>
        <w:spacing w:before="120" w:after="120"/>
        <w:ind w:left="360"/>
        <w:rPr>
          <w:i/>
          <w:sz w:val="22"/>
          <w:szCs w:val="22"/>
          <w:u w:val="double"/>
        </w:rPr>
      </w:pPr>
      <w:r w:rsidRPr="00EA113F">
        <w:rPr>
          <w:i/>
          <w:sz w:val="22"/>
          <w:szCs w:val="22"/>
          <w:highlight w:val="yellow"/>
          <w:u w:val="double"/>
        </w:rPr>
        <w:t>{Permitting Note:  These emissions units are regulated under:  40 CFR 60, Subpart A, General Provisions, and Subpart GG, Standards of Performance for Stationary Gas Turbines, adopted by reference in Rule 62-204.800(8)(d) and (8)(b)42., F.A.C., respectively; Rule 62-212.400, Best Available Control Technology (BACT) limits for NO</w:t>
      </w:r>
      <w:r w:rsidRPr="00EA113F">
        <w:rPr>
          <w:i/>
          <w:sz w:val="22"/>
          <w:szCs w:val="22"/>
          <w:highlight w:val="yellow"/>
          <w:u w:val="double"/>
          <w:vertAlign w:val="subscript"/>
        </w:rPr>
        <w:t>X</w:t>
      </w:r>
      <w:r w:rsidRPr="00EA113F">
        <w:rPr>
          <w:i/>
          <w:sz w:val="22"/>
          <w:szCs w:val="22"/>
          <w:highlight w:val="yellow"/>
          <w:u w:val="double"/>
        </w:rPr>
        <w:t>, VOC, carbon monoxide (CO), PM and PM less than 10 microns in diameter (PM</w:t>
      </w:r>
      <w:r w:rsidRPr="00EA113F">
        <w:rPr>
          <w:i/>
          <w:sz w:val="22"/>
          <w:szCs w:val="22"/>
          <w:highlight w:val="yellow"/>
          <w:u w:val="double"/>
          <w:vertAlign w:val="subscript"/>
        </w:rPr>
        <w:t>10</w:t>
      </w:r>
      <w:r w:rsidRPr="00EA113F">
        <w:rPr>
          <w:i/>
          <w:sz w:val="22"/>
          <w:szCs w:val="22"/>
          <w:highlight w:val="yellow"/>
          <w:u w:val="double"/>
        </w:rPr>
        <w:t>), lead (Pb) and SO</w:t>
      </w:r>
      <w:r w:rsidRPr="00EA113F">
        <w:rPr>
          <w:i/>
          <w:sz w:val="22"/>
          <w:szCs w:val="22"/>
          <w:highlight w:val="yellow"/>
          <w:u w:val="double"/>
          <w:vertAlign w:val="subscript"/>
        </w:rPr>
        <w:t>2</w:t>
      </w:r>
      <w:r w:rsidRPr="00EA113F">
        <w:rPr>
          <w:i/>
          <w:sz w:val="22"/>
          <w:szCs w:val="22"/>
          <w:highlight w:val="yellow"/>
          <w:u w:val="double"/>
        </w:rPr>
        <w:t>; and Chapter 62-214, F.A.C., the Phase II Acid Rain Program as specified in Section IV of this Permit}</w:t>
      </w:r>
    </w:p>
    <w:p w:rsidR="005E258B" w:rsidRPr="00C302E0" w:rsidRDefault="00EA113F" w:rsidP="005E258B">
      <w:pPr>
        <w:pStyle w:val="ListParagraph"/>
        <w:tabs>
          <w:tab w:val="left" w:pos="360"/>
        </w:tabs>
        <w:spacing w:after="120"/>
        <w:ind w:left="360"/>
        <w:contextualSpacing w:val="0"/>
        <w:rPr>
          <w:i/>
          <w:strike/>
          <w:sz w:val="22"/>
          <w:szCs w:val="22"/>
          <w:highlight w:val="yellow"/>
        </w:rPr>
      </w:pPr>
      <w:r w:rsidRPr="00C302E0">
        <w:rPr>
          <w:i/>
          <w:strike/>
          <w:sz w:val="22"/>
          <w:szCs w:val="22"/>
          <w:highlight w:val="yellow"/>
        </w:rPr>
        <w:t>{Permitting Note:  The emissions units are regulated under Acid Rain, Phase II and NSPS - 40 CFR 60, Subpart GG, Standards of Performance for Stationary Gas Turbines; adopted and incorporated by reference in Rule 62-204.800, F.A.C; PSD-FL-146, Prevention of Significant Deterioration (PSD), in Rule 62-212.400, F.A.C.; Best Available Control Technology (BACT), in Rule 62-212.410, F.A.C.; and PA89-27.}</w:t>
      </w:r>
    </w:p>
    <w:p w:rsidR="00EA113F" w:rsidRPr="00C302E0" w:rsidRDefault="00EA113F" w:rsidP="00CB423F">
      <w:pPr>
        <w:pStyle w:val="ListParagraph"/>
        <w:numPr>
          <w:ilvl w:val="0"/>
          <w:numId w:val="1"/>
        </w:numPr>
        <w:tabs>
          <w:tab w:val="left" w:pos="360"/>
        </w:tabs>
        <w:spacing w:after="120"/>
        <w:contextualSpacing w:val="0"/>
        <w:rPr>
          <w:sz w:val="22"/>
          <w:szCs w:val="22"/>
        </w:rPr>
      </w:pPr>
      <w:r w:rsidRPr="00C302E0">
        <w:rPr>
          <w:sz w:val="22"/>
          <w:szCs w:val="22"/>
        </w:rPr>
        <w:t xml:space="preserve">To reflect changes made in Permit No. 0850001-041-AC (PSD-FL-146J and 327G), Specific Condition </w:t>
      </w:r>
      <w:r w:rsidRPr="00C302E0">
        <w:rPr>
          <w:b/>
          <w:sz w:val="22"/>
          <w:szCs w:val="22"/>
        </w:rPr>
        <w:t>B.3</w:t>
      </w:r>
      <w:r w:rsidRPr="00C302E0">
        <w:rPr>
          <w:sz w:val="22"/>
          <w:szCs w:val="22"/>
        </w:rPr>
        <w:t xml:space="preserve"> has been revised as follows:</w:t>
      </w:r>
    </w:p>
    <w:p w:rsidR="00EA113F" w:rsidRPr="00EA113F" w:rsidRDefault="00EA113F" w:rsidP="00CB423F">
      <w:pPr>
        <w:numPr>
          <w:ilvl w:val="0"/>
          <w:numId w:val="29"/>
        </w:numPr>
        <w:tabs>
          <w:tab w:val="clear" w:pos="0"/>
          <w:tab w:val="left" w:pos="1080"/>
        </w:tabs>
        <w:ind w:left="720"/>
        <w:rPr>
          <w:sz w:val="22"/>
          <w:szCs w:val="22"/>
          <w:u w:val="single"/>
        </w:rPr>
      </w:pPr>
      <w:r w:rsidRPr="00EA113F">
        <w:rPr>
          <w:sz w:val="22"/>
          <w:szCs w:val="22"/>
          <w:u w:val="single"/>
        </w:rPr>
        <w:t>Methods of Operation</w:t>
      </w:r>
      <w:r w:rsidRPr="00EA113F">
        <w:rPr>
          <w:sz w:val="22"/>
          <w:szCs w:val="22"/>
        </w:rPr>
        <w:t>.</w:t>
      </w:r>
      <w:r w:rsidRPr="00EA113F">
        <w:rPr>
          <w:sz w:val="22"/>
          <w:szCs w:val="22"/>
          <w:u w:val="single"/>
        </w:rPr>
        <w:t xml:space="preserve">  </w:t>
      </w:r>
    </w:p>
    <w:p w:rsidR="00EA113F" w:rsidRPr="00EA113F" w:rsidRDefault="00EA113F" w:rsidP="00CB423F">
      <w:pPr>
        <w:numPr>
          <w:ilvl w:val="1"/>
          <w:numId w:val="28"/>
        </w:numPr>
        <w:tabs>
          <w:tab w:val="clear" w:pos="1440"/>
        </w:tabs>
        <w:ind w:left="1080"/>
        <w:rPr>
          <w:sz w:val="22"/>
          <w:szCs w:val="22"/>
        </w:rPr>
      </w:pPr>
      <w:r w:rsidRPr="00EA113F">
        <w:rPr>
          <w:i/>
          <w:sz w:val="22"/>
          <w:szCs w:val="22"/>
        </w:rPr>
        <w:t>Fuels</w:t>
      </w:r>
      <w:r w:rsidRPr="00EA113F">
        <w:rPr>
          <w:sz w:val="22"/>
          <w:szCs w:val="22"/>
        </w:rPr>
        <w:t>.  Only natural gas or No. 2 fuel oil shall be fired in the CT units.</w:t>
      </w:r>
    </w:p>
    <w:p w:rsidR="00EA113F" w:rsidRPr="00EA113F" w:rsidRDefault="00EA113F" w:rsidP="00CB423F">
      <w:pPr>
        <w:numPr>
          <w:ilvl w:val="1"/>
          <w:numId w:val="28"/>
        </w:numPr>
        <w:tabs>
          <w:tab w:val="clear" w:pos="1440"/>
        </w:tabs>
        <w:ind w:left="1080"/>
        <w:rPr>
          <w:sz w:val="22"/>
          <w:szCs w:val="22"/>
        </w:rPr>
      </w:pPr>
      <w:r w:rsidRPr="00EA113F">
        <w:rPr>
          <w:i/>
          <w:sz w:val="22"/>
          <w:szCs w:val="22"/>
        </w:rPr>
        <w:t>Inlet Foggers</w:t>
      </w:r>
      <w:r w:rsidRPr="00EA113F">
        <w:rPr>
          <w:sz w:val="22"/>
          <w:szCs w:val="22"/>
        </w:rPr>
        <w:t xml:space="preserve">.  Operation of the foggers on each unit </w:t>
      </w:r>
      <w:r w:rsidRPr="00EA113F">
        <w:rPr>
          <w:strike/>
          <w:sz w:val="22"/>
          <w:szCs w:val="22"/>
          <w:highlight w:val="yellow"/>
        </w:rPr>
        <w:t>may</w:t>
      </w:r>
      <w:r w:rsidRPr="00EA113F">
        <w:rPr>
          <w:sz w:val="22"/>
          <w:szCs w:val="22"/>
        </w:rPr>
        <w:t xml:space="preserve"> </w:t>
      </w:r>
      <w:r w:rsidRPr="00EA113F">
        <w:rPr>
          <w:sz w:val="22"/>
          <w:szCs w:val="22"/>
          <w:highlight w:val="yellow"/>
          <w:u w:val="double"/>
        </w:rPr>
        <w:t>shall</w:t>
      </w:r>
      <w:r w:rsidRPr="00EA113F">
        <w:rPr>
          <w:sz w:val="22"/>
          <w:szCs w:val="22"/>
        </w:rPr>
        <w:t xml:space="preserve"> not exceed </w:t>
      </w:r>
      <w:r w:rsidRPr="00EA113F">
        <w:rPr>
          <w:sz w:val="22"/>
          <w:szCs w:val="22"/>
          <w:highlight w:val="yellow"/>
          <w:u w:val="double"/>
        </w:rPr>
        <w:t>a combined total of 3,663 hours per calendar year</w:t>
      </w:r>
      <w:r w:rsidRPr="00EA113F">
        <w:rPr>
          <w:sz w:val="22"/>
          <w:szCs w:val="22"/>
        </w:rPr>
        <w:t xml:space="preserve"> </w:t>
      </w:r>
      <w:r w:rsidRPr="00EA113F">
        <w:rPr>
          <w:strike/>
          <w:sz w:val="22"/>
          <w:szCs w:val="22"/>
          <w:highlight w:val="yellow"/>
        </w:rPr>
        <w:t>the following limits:  181,661⁰F-hours in aggregate firing natural gas fuel if no distillate fuel is fired.  If distillate oil is fired in any of the CT units during a calendar year, the allowable ⁰F-hours for natural gas shall be decreased by 2.77⁰F-hours for every hour operated on distillate oil fuel.  No CT may exceed 4,000⁰F-hours per year firing distillate oil fuel.</w:t>
      </w:r>
    </w:p>
    <w:p w:rsidR="00EA113F" w:rsidRPr="00EA113F" w:rsidRDefault="00EA113F" w:rsidP="00CB423F">
      <w:pPr>
        <w:numPr>
          <w:ilvl w:val="1"/>
          <w:numId w:val="28"/>
        </w:numPr>
        <w:tabs>
          <w:tab w:val="clear" w:pos="1440"/>
        </w:tabs>
        <w:ind w:left="1080"/>
        <w:rPr>
          <w:sz w:val="22"/>
          <w:szCs w:val="22"/>
        </w:rPr>
      </w:pPr>
      <w:r w:rsidRPr="00EA113F">
        <w:rPr>
          <w:i/>
          <w:sz w:val="22"/>
          <w:szCs w:val="22"/>
        </w:rPr>
        <w:t>Power Augmentation.</w:t>
      </w:r>
      <w:r w:rsidRPr="00EA113F">
        <w:rPr>
          <w:sz w:val="22"/>
          <w:szCs w:val="22"/>
        </w:rPr>
        <w:t xml:space="preserve">  The CTs may also be operated in power augmentation mode, which involves the introduction of steam into the combustion chamber turbine to generate additional direct, shaft-driven electrical power to respond to peak demands</w:t>
      </w:r>
    </w:p>
    <w:p w:rsidR="00EA113F" w:rsidRPr="00EA113F" w:rsidRDefault="00EA113F" w:rsidP="00EA113F">
      <w:pPr>
        <w:spacing w:after="120"/>
        <w:ind w:left="360"/>
        <w:rPr>
          <w:sz w:val="22"/>
          <w:szCs w:val="22"/>
        </w:rPr>
      </w:pPr>
      <w:r w:rsidRPr="00EA113F">
        <w:rPr>
          <w:sz w:val="22"/>
          <w:szCs w:val="22"/>
        </w:rPr>
        <w:t xml:space="preserve">[Permit Nos. PSD-FL-146, Specific Condition No. 3, </w:t>
      </w:r>
      <w:r w:rsidRPr="00EA113F">
        <w:rPr>
          <w:strike/>
          <w:sz w:val="22"/>
          <w:szCs w:val="22"/>
          <w:highlight w:val="yellow"/>
        </w:rPr>
        <w:t>0850001-005-AC/PSD-FL-146(G) &amp;</w:t>
      </w:r>
      <w:r w:rsidRPr="00EA113F">
        <w:rPr>
          <w:sz w:val="22"/>
          <w:szCs w:val="22"/>
        </w:rPr>
        <w:t xml:space="preserve"> 0850001-016-AC/PSD-FL-327B &amp; 146C </w:t>
      </w:r>
      <w:r w:rsidRPr="00EA113F">
        <w:rPr>
          <w:sz w:val="22"/>
          <w:szCs w:val="22"/>
          <w:highlight w:val="yellow"/>
          <w:u w:val="double"/>
        </w:rPr>
        <w:t>&amp; 0850001-041-AC/PSD-FL-146J &amp; 327G</w:t>
      </w:r>
      <w:r w:rsidRPr="00EA113F">
        <w:rPr>
          <w:sz w:val="22"/>
          <w:szCs w:val="22"/>
        </w:rPr>
        <w:t>]</w:t>
      </w:r>
    </w:p>
    <w:p w:rsidR="00EA113F" w:rsidRDefault="00C302E0" w:rsidP="00CB423F">
      <w:pPr>
        <w:pStyle w:val="ListParagraph"/>
        <w:numPr>
          <w:ilvl w:val="0"/>
          <w:numId w:val="1"/>
        </w:numPr>
        <w:tabs>
          <w:tab w:val="left" w:pos="360"/>
        </w:tabs>
        <w:spacing w:after="120"/>
        <w:contextualSpacing w:val="0"/>
        <w:rPr>
          <w:sz w:val="22"/>
          <w:szCs w:val="22"/>
        </w:rPr>
      </w:pPr>
      <w:r w:rsidRPr="00C302E0">
        <w:rPr>
          <w:sz w:val="22"/>
          <w:szCs w:val="22"/>
        </w:rPr>
        <w:t>To reflect current</w:t>
      </w:r>
      <w:r>
        <w:rPr>
          <w:sz w:val="22"/>
          <w:szCs w:val="22"/>
        </w:rPr>
        <w:t xml:space="preserve"> Title V air operation permit format standards, </w:t>
      </w:r>
      <w:r w:rsidR="00E74308">
        <w:rPr>
          <w:sz w:val="22"/>
          <w:szCs w:val="22"/>
        </w:rPr>
        <w:t xml:space="preserve">the </w:t>
      </w:r>
      <w:r w:rsidR="00E74308">
        <w:rPr>
          <w:b/>
          <w:sz w:val="22"/>
          <w:szCs w:val="22"/>
          <w:u w:val="single"/>
        </w:rPr>
        <w:t>Applicable Standards and Regulations</w:t>
      </w:r>
      <w:r w:rsidR="00E74308">
        <w:rPr>
          <w:sz w:val="22"/>
          <w:szCs w:val="22"/>
        </w:rPr>
        <w:t xml:space="preserve"> and Specific Conditions </w:t>
      </w:r>
      <w:r w:rsidR="00E74308">
        <w:rPr>
          <w:b/>
          <w:sz w:val="22"/>
          <w:szCs w:val="22"/>
        </w:rPr>
        <w:t>B.5</w:t>
      </w:r>
      <w:r w:rsidR="00E74308">
        <w:rPr>
          <w:sz w:val="22"/>
          <w:szCs w:val="22"/>
        </w:rPr>
        <w:t xml:space="preserve"> and </w:t>
      </w:r>
      <w:r w:rsidR="00E74308">
        <w:rPr>
          <w:b/>
          <w:sz w:val="22"/>
          <w:szCs w:val="22"/>
        </w:rPr>
        <w:t>B.6</w:t>
      </w:r>
      <w:r w:rsidR="00E74308">
        <w:rPr>
          <w:sz w:val="22"/>
          <w:szCs w:val="22"/>
        </w:rPr>
        <w:t xml:space="preserve"> have been deleted.</w:t>
      </w:r>
    </w:p>
    <w:p w:rsidR="00E74308" w:rsidRDefault="00E74308" w:rsidP="00CB423F">
      <w:pPr>
        <w:pStyle w:val="ListParagraph"/>
        <w:numPr>
          <w:ilvl w:val="0"/>
          <w:numId w:val="1"/>
        </w:numPr>
        <w:tabs>
          <w:tab w:val="left" w:pos="360"/>
        </w:tabs>
        <w:spacing w:after="120"/>
        <w:contextualSpacing w:val="0"/>
        <w:rPr>
          <w:sz w:val="22"/>
          <w:szCs w:val="22"/>
        </w:rPr>
      </w:pPr>
      <w:bookmarkStart w:id="18" w:name="_Ref520377388"/>
      <w:r>
        <w:rPr>
          <w:sz w:val="22"/>
          <w:szCs w:val="22"/>
        </w:rPr>
        <w:t xml:space="preserve">To reflect current Title V air operation permit format standards, Specific Condition </w:t>
      </w:r>
      <w:r>
        <w:rPr>
          <w:b/>
          <w:sz w:val="22"/>
          <w:szCs w:val="22"/>
        </w:rPr>
        <w:t>B.8</w:t>
      </w:r>
      <w:r>
        <w:rPr>
          <w:sz w:val="22"/>
          <w:szCs w:val="22"/>
        </w:rPr>
        <w:t xml:space="preserve"> has been deleted and converted into Specific Conditions </w:t>
      </w:r>
      <w:r>
        <w:rPr>
          <w:b/>
          <w:sz w:val="22"/>
          <w:szCs w:val="22"/>
        </w:rPr>
        <w:t>B.9</w:t>
      </w:r>
      <w:r w:rsidRPr="00E74308">
        <w:rPr>
          <w:sz w:val="22"/>
          <w:szCs w:val="22"/>
        </w:rPr>
        <w:t xml:space="preserve">, </w:t>
      </w:r>
      <w:r>
        <w:rPr>
          <w:b/>
          <w:sz w:val="22"/>
          <w:szCs w:val="22"/>
        </w:rPr>
        <w:t>B.10</w:t>
      </w:r>
      <w:r w:rsidRPr="00E74308">
        <w:rPr>
          <w:sz w:val="22"/>
          <w:szCs w:val="22"/>
        </w:rPr>
        <w:t xml:space="preserve">, </w:t>
      </w:r>
      <w:r>
        <w:rPr>
          <w:b/>
          <w:sz w:val="22"/>
          <w:szCs w:val="22"/>
        </w:rPr>
        <w:t>B.11</w:t>
      </w:r>
      <w:r w:rsidRPr="00E74308">
        <w:rPr>
          <w:sz w:val="22"/>
          <w:szCs w:val="22"/>
        </w:rPr>
        <w:t xml:space="preserve">, </w:t>
      </w:r>
      <w:r>
        <w:rPr>
          <w:b/>
          <w:sz w:val="22"/>
          <w:szCs w:val="22"/>
        </w:rPr>
        <w:t>B.12</w:t>
      </w:r>
      <w:r w:rsidRPr="00E74308">
        <w:rPr>
          <w:sz w:val="22"/>
          <w:szCs w:val="22"/>
        </w:rPr>
        <w:t xml:space="preserve">, </w:t>
      </w:r>
      <w:r>
        <w:rPr>
          <w:b/>
          <w:sz w:val="22"/>
          <w:szCs w:val="22"/>
        </w:rPr>
        <w:t>B.13</w:t>
      </w:r>
      <w:r w:rsidRPr="00E74308">
        <w:rPr>
          <w:sz w:val="22"/>
          <w:szCs w:val="22"/>
        </w:rPr>
        <w:t xml:space="preserve">, </w:t>
      </w:r>
      <w:r>
        <w:rPr>
          <w:b/>
          <w:sz w:val="22"/>
          <w:szCs w:val="22"/>
        </w:rPr>
        <w:t>B.14</w:t>
      </w:r>
      <w:r w:rsidRPr="00E74308">
        <w:rPr>
          <w:sz w:val="22"/>
          <w:szCs w:val="22"/>
        </w:rPr>
        <w:t xml:space="preserve"> and </w:t>
      </w:r>
      <w:r>
        <w:rPr>
          <w:b/>
          <w:sz w:val="22"/>
          <w:szCs w:val="22"/>
        </w:rPr>
        <w:t>B.15</w:t>
      </w:r>
      <w:r>
        <w:rPr>
          <w:sz w:val="22"/>
          <w:szCs w:val="22"/>
        </w:rPr>
        <w:t>.  NO</w:t>
      </w:r>
      <w:r>
        <w:rPr>
          <w:sz w:val="22"/>
          <w:szCs w:val="22"/>
          <w:vertAlign w:val="subscript"/>
        </w:rPr>
        <w:t>X</w:t>
      </w:r>
      <w:r>
        <w:rPr>
          <w:sz w:val="22"/>
          <w:szCs w:val="22"/>
        </w:rPr>
        <w:t xml:space="preserve"> and SO</w:t>
      </w:r>
      <w:r>
        <w:rPr>
          <w:sz w:val="22"/>
          <w:szCs w:val="22"/>
          <w:vertAlign w:val="subscript"/>
        </w:rPr>
        <w:t>2</w:t>
      </w:r>
      <w:r>
        <w:rPr>
          <w:sz w:val="22"/>
          <w:szCs w:val="22"/>
        </w:rPr>
        <w:t xml:space="preserve"> limits from NSPS Subpart GG have been incorporated into Specific Conditions </w:t>
      </w:r>
      <w:r>
        <w:rPr>
          <w:b/>
          <w:sz w:val="22"/>
          <w:szCs w:val="22"/>
        </w:rPr>
        <w:t>B.10</w:t>
      </w:r>
      <w:r>
        <w:rPr>
          <w:sz w:val="22"/>
          <w:szCs w:val="22"/>
        </w:rPr>
        <w:t xml:space="preserve"> and </w:t>
      </w:r>
      <w:r>
        <w:rPr>
          <w:b/>
          <w:sz w:val="22"/>
          <w:szCs w:val="22"/>
        </w:rPr>
        <w:t>B.15</w:t>
      </w:r>
      <w:r>
        <w:rPr>
          <w:sz w:val="22"/>
          <w:szCs w:val="22"/>
        </w:rPr>
        <w:t>.  Chapter 403.0872(13)(b) of the Florida Statutes has been incorporated in order to establish an averaging period for NO</w:t>
      </w:r>
      <w:r>
        <w:rPr>
          <w:sz w:val="22"/>
          <w:szCs w:val="22"/>
          <w:vertAlign w:val="subscript"/>
        </w:rPr>
        <w:t>X</w:t>
      </w:r>
      <w:r>
        <w:rPr>
          <w:sz w:val="22"/>
          <w:szCs w:val="22"/>
        </w:rPr>
        <w:t xml:space="preserve"> emissions.  The revisions appear as follows:</w:t>
      </w:r>
      <w:bookmarkEnd w:id="18"/>
    </w:p>
    <w:p w:rsidR="00E74308" w:rsidRPr="00E74308" w:rsidRDefault="00E74308" w:rsidP="00CB423F">
      <w:pPr>
        <w:numPr>
          <w:ilvl w:val="0"/>
          <w:numId w:val="31"/>
        </w:numPr>
        <w:tabs>
          <w:tab w:val="left" w:pos="630"/>
          <w:tab w:val="left" w:pos="1080"/>
        </w:tabs>
        <w:spacing w:after="120"/>
        <w:rPr>
          <w:strike/>
          <w:sz w:val="22"/>
          <w:szCs w:val="22"/>
          <w:highlight w:val="yellow"/>
        </w:rPr>
      </w:pPr>
      <w:bookmarkStart w:id="19" w:name="_Ref503356939"/>
      <w:bookmarkStart w:id="20" w:name="_Hlk505245355"/>
      <w:r w:rsidRPr="00E74308">
        <w:rPr>
          <w:strike/>
          <w:sz w:val="22"/>
          <w:szCs w:val="22"/>
          <w:highlight w:val="yellow"/>
        </w:rPr>
        <w:t>The maximum allowable emissions from each CT, in accordance with the BACT determination, shall not exceed the following, at 40 degrees F, except during periods of startup and shutdown:</w:t>
      </w:r>
      <w:bookmarkEnd w:id="19"/>
    </w:p>
    <w:tbl>
      <w:tblPr>
        <w:tblW w:w="10155" w:type="dxa"/>
        <w:tblInd w:w="435" w:type="dxa"/>
        <w:tblLayout w:type="fixed"/>
        <w:tblLook w:val="0000" w:firstRow="0" w:lastRow="0" w:firstColumn="0" w:lastColumn="0" w:noHBand="0" w:noVBand="0"/>
      </w:tblPr>
      <w:tblGrid>
        <w:gridCol w:w="1170"/>
        <w:gridCol w:w="750"/>
        <w:gridCol w:w="2205"/>
        <w:gridCol w:w="1260"/>
        <w:gridCol w:w="3330"/>
        <w:gridCol w:w="1440"/>
      </w:tblGrid>
      <w:tr w:rsidR="00E74308" w:rsidRPr="00E74308" w:rsidTr="00E74308">
        <w:trPr>
          <w:trHeight w:val="303"/>
        </w:trPr>
        <w:tc>
          <w:tcPr>
            <w:tcW w:w="1170" w:type="dxa"/>
            <w:vMerge w:val="restart"/>
            <w:tcBorders>
              <w:top w:val="single" w:sz="12" w:space="0" w:color="auto"/>
              <w:left w:val="single" w:sz="12"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bookmarkStart w:id="21" w:name="_Hlk505245408"/>
            <w:bookmarkEnd w:id="20"/>
            <w:r w:rsidRPr="00E74308">
              <w:rPr>
                <w:b/>
                <w:strike/>
                <w:sz w:val="22"/>
                <w:szCs w:val="22"/>
                <w:highlight w:val="yellow"/>
              </w:rPr>
              <w:t>Pollutant</w:t>
            </w:r>
          </w:p>
        </w:tc>
        <w:tc>
          <w:tcPr>
            <w:tcW w:w="750" w:type="dxa"/>
            <w:vMerge w:val="restart"/>
            <w:tcBorders>
              <w:top w:val="single" w:sz="12" w:space="0" w:color="auto"/>
              <w:left w:val="single" w:sz="12"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r w:rsidRPr="00E74308">
              <w:rPr>
                <w:b/>
                <w:strike/>
                <w:sz w:val="22"/>
                <w:szCs w:val="22"/>
                <w:highlight w:val="yellow"/>
              </w:rPr>
              <w:t>Fuel</w:t>
            </w:r>
          </w:p>
        </w:tc>
        <w:tc>
          <w:tcPr>
            <w:tcW w:w="2205" w:type="dxa"/>
            <w:tcBorders>
              <w:top w:val="single" w:sz="12" w:space="0" w:color="auto"/>
              <w:left w:val="single" w:sz="12" w:space="0" w:color="auto"/>
              <w:bottom w:val="single" w:sz="6"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r w:rsidRPr="00E74308">
              <w:rPr>
                <w:b/>
                <w:strike/>
                <w:sz w:val="22"/>
                <w:szCs w:val="22"/>
                <w:highlight w:val="yellow"/>
              </w:rPr>
              <w:t>Basis</w:t>
            </w:r>
          </w:p>
        </w:tc>
        <w:tc>
          <w:tcPr>
            <w:tcW w:w="4590" w:type="dxa"/>
            <w:gridSpan w:val="2"/>
            <w:tcBorders>
              <w:top w:val="single" w:sz="12" w:space="0" w:color="auto"/>
              <w:left w:val="single" w:sz="12" w:space="0" w:color="auto"/>
              <w:bottom w:val="single" w:sz="6"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r w:rsidRPr="00E74308">
              <w:rPr>
                <w:b/>
                <w:strike/>
                <w:sz w:val="22"/>
                <w:szCs w:val="22"/>
                <w:highlight w:val="yellow"/>
              </w:rPr>
              <w:t>Emission Limitations</w:t>
            </w:r>
          </w:p>
        </w:tc>
        <w:tc>
          <w:tcPr>
            <w:tcW w:w="1440" w:type="dxa"/>
            <w:vMerge w:val="restart"/>
            <w:tcBorders>
              <w:top w:val="single" w:sz="12" w:space="0" w:color="auto"/>
              <w:left w:val="single" w:sz="12" w:space="0" w:color="auto"/>
              <w:right w:val="single" w:sz="12" w:space="0" w:color="auto"/>
            </w:tcBorders>
            <w:shd w:val="pct5" w:color="auto" w:fill="auto"/>
          </w:tcPr>
          <w:p w:rsidR="00E74308" w:rsidRPr="00E74308" w:rsidRDefault="00E74308" w:rsidP="00E74308">
            <w:pPr>
              <w:jc w:val="center"/>
              <w:rPr>
                <w:b/>
                <w:strike/>
                <w:sz w:val="22"/>
                <w:szCs w:val="22"/>
                <w:highlight w:val="yellow"/>
              </w:rPr>
            </w:pPr>
            <w:r w:rsidRPr="00E74308">
              <w:rPr>
                <w:b/>
                <w:strike/>
                <w:sz w:val="22"/>
                <w:szCs w:val="22"/>
                <w:highlight w:val="yellow"/>
              </w:rPr>
              <w:t>Compliance Method</w:t>
            </w:r>
          </w:p>
        </w:tc>
      </w:tr>
      <w:tr w:rsidR="00E74308" w:rsidRPr="00E74308" w:rsidTr="00E74308">
        <w:trPr>
          <w:trHeight w:val="300"/>
        </w:trPr>
        <w:tc>
          <w:tcPr>
            <w:tcW w:w="1170" w:type="dxa"/>
            <w:vMerge/>
            <w:tcBorders>
              <w:left w:val="single" w:sz="12" w:space="0" w:color="auto"/>
              <w:bottom w:val="single" w:sz="12"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p>
        </w:tc>
        <w:tc>
          <w:tcPr>
            <w:tcW w:w="750" w:type="dxa"/>
            <w:vMerge/>
            <w:tcBorders>
              <w:left w:val="single" w:sz="12" w:space="0" w:color="auto"/>
              <w:bottom w:val="single" w:sz="12"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p>
        </w:tc>
        <w:tc>
          <w:tcPr>
            <w:tcW w:w="2205" w:type="dxa"/>
            <w:tcBorders>
              <w:left w:val="single" w:sz="12" w:space="0" w:color="auto"/>
              <w:bottom w:val="single" w:sz="12"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r w:rsidRPr="00E74308">
              <w:rPr>
                <w:b/>
                <w:strike/>
                <w:sz w:val="22"/>
                <w:szCs w:val="22"/>
                <w:highlight w:val="yellow"/>
              </w:rPr>
              <w:t>Concentration</w:t>
            </w:r>
          </w:p>
        </w:tc>
        <w:tc>
          <w:tcPr>
            <w:tcW w:w="1260" w:type="dxa"/>
            <w:tcBorders>
              <w:top w:val="single" w:sz="6" w:space="0" w:color="auto"/>
              <w:left w:val="single" w:sz="12" w:space="0" w:color="auto"/>
              <w:bottom w:val="single" w:sz="12"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r w:rsidRPr="00E74308">
              <w:rPr>
                <w:b/>
                <w:strike/>
                <w:sz w:val="22"/>
                <w:szCs w:val="22"/>
                <w:highlight w:val="yellow"/>
              </w:rPr>
              <w:t>lb/hr/CT</w:t>
            </w:r>
          </w:p>
        </w:tc>
        <w:tc>
          <w:tcPr>
            <w:tcW w:w="3330" w:type="dxa"/>
            <w:tcBorders>
              <w:top w:val="single" w:sz="6" w:space="0" w:color="auto"/>
              <w:left w:val="single" w:sz="12" w:space="0" w:color="auto"/>
              <w:bottom w:val="single" w:sz="12" w:space="0" w:color="auto"/>
              <w:right w:val="single" w:sz="12" w:space="0" w:color="auto"/>
            </w:tcBorders>
            <w:shd w:val="pct5" w:color="auto" w:fill="auto"/>
            <w:vAlign w:val="center"/>
          </w:tcPr>
          <w:p w:rsidR="00E74308" w:rsidRPr="00E74308" w:rsidRDefault="00E74308" w:rsidP="00E74308">
            <w:pPr>
              <w:jc w:val="center"/>
              <w:rPr>
                <w:b/>
                <w:strike/>
                <w:sz w:val="22"/>
                <w:szCs w:val="22"/>
                <w:highlight w:val="yellow"/>
              </w:rPr>
            </w:pPr>
            <w:r w:rsidRPr="00E74308">
              <w:rPr>
                <w:b/>
                <w:strike/>
                <w:sz w:val="22"/>
                <w:szCs w:val="22"/>
                <w:highlight w:val="yellow"/>
              </w:rPr>
              <w:t>TPY/CT</w:t>
            </w:r>
            <w:r w:rsidRPr="00E74308">
              <w:rPr>
                <w:b/>
                <w:strike/>
                <w:sz w:val="22"/>
                <w:szCs w:val="22"/>
                <w:highlight w:val="yellow"/>
                <w:vertAlign w:val="superscript"/>
              </w:rPr>
              <w:t>a.</w:t>
            </w:r>
          </w:p>
        </w:tc>
        <w:tc>
          <w:tcPr>
            <w:tcW w:w="1440" w:type="dxa"/>
            <w:vMerge/>
            <w:tcBorders>
              <w:left w:val="single" w:sz="12" w:space="0" w:color="auto"/>
              <w:bottom w:val="single" w:sz="12" w:space="0" w:color="auto"/>
              <w:right w:val="single" w:sz="12" w:space="0" w:color="auto"/>
            </w:tcBorders>
            <w:shd w:val="pct5" w:color="auto" w:fill="auto"/>
          </w:tcPr>
          <w:p w:rsidR="00E74308" w:rsidRPr="00E74308" w:rsidRDefault="00E74308" w:rsidP="00E74308">
            <w:pPr>
              <w:jc w:val="center"/>
              <w:rPr>
                <w:b/>
                <w:strike/>
                <w:sz w:val="22"/>
                <w:szCs w:val="22"/>
                <w:highlight w:val="yellow"/>
              </w:rPr>
            </w:pPr>
          </w:p>
        </w:tc>
      </w:tr>
      <w:tr w:rsidR="00E74308" w:rsidRPr="00E74308" w:rsidTr="00E74308">
        <w:tc>
          <w:tcPr>
            <w:tcW w:w="1170" w:type="dxa"/>
            <w:vMerge w:val="restart"/>
            <w:tcBorders>
              <w:top w:val="single" w:sz="12" w:space="0" w:color="auto"/>
              <w:left w:val="single" w:sz="12" w:space="0" w:color="auto"/>
              <w:right w:val="single" w:sz="12" w:space="0" w:color="auto"/>
            </w:tcBorders>
            <w:vAlign w:val="center"/>
          </w:tcPr>
          <w:p w:rsidR="00E74308" w:rsidRPr="00E74308" w:rsidRDefault="00E74308" w:rsidP="00E74308">
            <w:pPr>
              <w:jc w:val="center"/>
              <w:rPr>
                <w:strike/>
                <w:sz w:val="22"/>
                <w:szCs w:val="22"/>
                <w:highlight w:val="yellow"/>
                <w:vertAlign w:val="superscript"/>
              </w:rPr>
            </w:pPr>
            <w:r w:rsidRPr="00E74308">
              <w:rPr>
                <w:strike/>
                <w:sz w:val="22"/>
                <w:szCs w:val="22"/>
                <w:highlight w:val="yellow"/>
              </w:rPr>
              <w:t>NO</w:t>
            </w:r>
            <w:r w:rsidRPr="00E74308">
              <w:rPr>
                <w:strike/>
                <w:sz w:val="22"/>
                <w:szCs w:val="22"/>
                <w:highlight w:val="yellow"/>
                <w:vertAlign w:val="subscript"/>
              </w:rPr>
              <w:t>X</w:t>
            </w:r>
          </w:p>
        </w:tc>
        <w:tc>
          <w:tcPr>
            <w:tcW w:w="75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Gas</w:t>
            </w:r>
          </w:p>
        </w:tc>
        <w:tc>
          <w:tcPr>
            <w:tcW w:w="2205"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25 ppmvd @ 15% O</w:t>
            </w:r>
            <w:r w:rsidRPr="00E74308">
              <w:rPr>
                <w:strike/>
                <w:position w:val="-10"/>
                <w:sz w:val="22"/>
                <w:szCs w:val="22"/>
                <w:highlight w:val="yellow"/>
              </w:rPr>
              <w:object w:dxaOrig="173" w:dyaOrig="320">
                <v:shape id="_x0000_i1027" type="#_x0000_t75" style="width:6.55pt;height:12.6pt" o:ole="">
                  <v:imagedata r:id="rId11" o:title=""/>
                </v:shape>
                <o:OLEObject Type="Embed" ProgID="Equation.2" ShapeID="_x0000_i1027" DrawAspect="Content" ObjectID="_1598762619" r:id="rId12"/>
              </w:object>
            </w:r>
          </w:p>
        </w:tc>
        <w:tc>
          <w:tcPr>
            <w:tcW w:w="126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177</w:t>
            </w:r>
          </w:p>
        </w:tc>
        <w:tc>
          <w:tcPr>
            <w:tcW w:w="333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3,108</w:t>
            </w:r>
          </w:p>
        </w:tc>
        <w:tc>
          <w:tcPr>
            <w:tcW w:w="1440" w:type="dxa"/>
            <w:vMerge w:val="restart"/>
            <w:tcBorders>
              <w:top w:val="single" w:sz="12" w:space="0" w:color="auto"/>
              <w:left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CEMS</w:t>
            </w:r>
          </w:p>
        </w:tc>
      </w:tr>
      <w:tr w:rsidR="00E74308" w:rsidRPr="00E74308" w:rsidTr="00E74308">
        <w:tc>
          <w:tcPr>
            <w:tcW w:w="1170" w:type="dxa"/>
            <w:vMerge/>
            <w:tcBorders>
              <w:left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75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Oil</w:t>
            </w:r>
          </w:p>
        </w:tc>
        <w:tc>
          <w:tcPr>
            <w:tcW w:w="2205"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65 ppmvd @ 15% O</w:t>
            </w:r>
            <w:r w:rsidRPr="00E74308">
              <w:rPr>
                <w:strike/>
                <w:position w:val="-10"/>
                <w:sz w:val="22"/>
                <w:szCs w:val="22"/>
                <w:highlight w:val="yellow"/>
              </w:rPr>
              <w:object w:dxaOrig="173" w:dyaOrig="320">
                <v:shape id="_x0000_i1028" type="#_x0000_t75" style="width:6.55pt;height:12.6pt" o:ole="">
                  <v:imagedata r:id="rId13" o:title=""/>
                </v:shape>
                <o:OLEObject Type="Embed" ProgID="Equation.2" ShapeID="_x0000_i1028" DrawAspect="Content" ObjectID="_1598762620" r:id="rId14"/>
              </w:object>
            </w:r>
          </w:p>
        </w:tc>
        <w:tc>
          <w:tcPr>
            <w:tcW w:w="126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461</w:t>
            </w:r>
          </w:p>
        </w:tc>
        <w:tc>
          <w:tcPr>
            <w:tcW w:w="333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440" w:type="dxa"/>
            <w:vMerge/>
            <w:tcBorders>
              <w:left w:val="single" w:sz="12" w:space="0" w:color="auto"/>
              <w:bottom w:val="single" w:sz="12" w:space="0" w:color="auto"/>
              <w:right w:val="single" w:sz="12" w:space="0" w:color="auto"/>
            </w:tcBorders>
          </w:tcPr>
          <w:p w:rsidR="00E74308" w:rsidRPr="00E74308" w:rsidRDefault="00E74308" w:rsidP="00E74308">
            <w:pPr>
              <w:jc w:val="center"/>
              <w:rPr>
                <w:strike/>
                <w:sz w:val="22"/>
                <w:szCs w:val="22"/>
                <w:highlight w:val="yellow"/>
              </w:rPr>
            </w:pPr>
          </w:p>
        </w:tc>
      </w:tr>
      <w:tr w:rsidR="00E74308" w:rsidRPr="00E74308" w:rsidTr="00E74308">
        <w:tc>
          <w:tcPr>
            <w:tcW w:w="117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VOC</w:t>
            </w:r>
            <w:r w:rsidRPr="00E74308">
              <w:rPr>
                <w:b/>
                <w:strike/>
                <w:sz w:val="22"/>
                <w:szCs w:val="22"/>
                <w:highlight w:val="yellow"/>
                <w:vertAlign w:val="superscript"/>
              </w:rPr>
              <w:t>b.</w:t>
            </w:r>
          </w:p>
        </w:tc>
        <w:tc>
          <w:tcPr>
            <w:tcW w:w="75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Gas</w:t>
            </w:r>
          </w:p>
        </w:tc>
        <w:tc>
          <w:tcPr>
            <w:tcW w:w="2205"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1.6 ppmvd</w:t>
            </w:r>
          </w:p>
        </w:tc>
        <w:tc>
          <w:tcPr>
            <w:tcW w:w="126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3</w:t>
            </w:r>
          </w:p>
        </w:tc>
        <w:tc>
          <w:tcPr>
            <w:tcW w:w="333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57</w:t>
            </w:r>
          </w:p>
        </w:tc>
        <w:tc>
          <w:tcPr>
            <w:tcW w:w="1440" w:type="dxa"/>
            <w:vMerge w:val="restart"/>
            <w:tcBorders>
              <w:top w:val="single" w:sz="12" w:space="0" w:color="auto"/>
              <w:left w:val="single" w:sz="12" w:space="0" w:color="auto"/>
              <w:right w:val="single" w:sz="12" w:space="0" w:color="auto"/>
            </w:tcBorders>
          </w:tcPr>
          <w:p w:rsidR="00E74308" w:rsidRPr="00E74308" w:rsidRDefault="00E74308" w:rsidP="00E74308">
            <w:pPr>
              <w:jc w:val="center"/>
              <w:rPr>
                <w:strike/>
                <w:sz w:val="22"/>
                <w:szCs w:val="22"/>
                <w:highlight w:val="yellow"/>
              </w:rPr>
            </w:pPr>
            <w:r w:rsidRPr="00E74308">
              <w:rPr>
                <w:strike/>
                <w:sz w:val="22"/>
                <w:szCs w:val="22"/>
                <w:highlight w:val="yellow"/>
              </w:rPr>
              <w:t>CO Compliance &amp; Stack Test</w:t>
            </w:r>
          </w:p>
        </w:tc>
      </w:tr>
      <w:tr w:rsidR="00E74308" w:rsidRPr="00E74308" w:rsidTr="00E74308">
        <w:tc>
          <w:tcPr>
            <w:tcW w:w="117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75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Oil</w:t>
            </w:r>
          </w:p>
        </w:tc>
        <w:tc>
          <w:tcPr>
            <w:tcW w:w="2205"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6 ppmvd</w:t>
            </w:r>
          </w:p>
        </w:tc>
        <w:tc>
          <w:tcPr>
            <w:tcW w:w="126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11.0</w:t>
            </w:r>
          </w:p>
        </w:tc>
        <w:tc>
          <w:tcPr>
            <w:tcW w:w="333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440" w:type="dxa"/>
            <w:vMerge/>
            <w:tcBorders>
              <w:left w:val="single" w:sz="12" w:space="0" w:color="auto"/>
              <w:bottom w:val="single" w:sz="12" w:space="0" w:color="auto"/>
              <w:right w:val="single" w:sz="12" w:space="0" w:color="auto"/>
            </w:tcBorders>
          </w:tcPr>
          <w:p w:rsidR="00E74308" w:rsidRPr="00E74308" w:rsidRDefault="00E74308" w:rsidP="00E74308">
            <w:pPr>
              <w:jc w:val="center"/>
              <w:rPr>
                <w:strike/>
                <w:sz w:val="22"/>
                <w:szCs w:val="22"/>
                <w:highlight w:val="yellow"/>
              </w:rPr>
            </w:pPr>
          </w:p>
        </w:tc>
      </w:tr>
      <w:tr w:rsidR="00E74308" w:rsidRPr="00E74308" w:rsidTr="00E74308">
        <w:tc>
          <w:tcPr>
            <w:tcW w:w="117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CO</w:t>
            </w:r>
          </w:p>
        </w:tc>
        <w:tc>
          <w:tcPr>
            <w:tcW w:w="75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Gas</w:t>
            </w:r>
          </w:p>
        </w:tc>
        <w:tc>
          <w:tcPr>
            <w:tcW w:w="2205"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30 ppmvd</w:t>
            </w:r>
          </w:p>
        </w:tc>
        <w:tc>
          <w:tcPr>
            <w:tcW w:w="126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94.3</w:t>
            </w:r>
          </w:p>
        </w:tc>
        <w:tc>
          <w:tcPr>
            <w:tcW w:w="333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871</w:t>
            </w:r>
          </w:p>
        </w:tc>
        <w:tc>
          <w:tcPr>
            <w:tcW w:w="1440" w:type="dxa"/>
            <w:vMerge w:val="restart"/>
            <w:tcBorders>
              <w:top w:val="single" w:sz="12" w:space="0" w:color="auto"/>
              <w:left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Stack Test</w:t>
            </w:r>
          </w:p>
        </w:tc>
      </w:tr>
      <w:tr w:rsidR="00E74308" w:rsidRPr="00E74308" w:rsidTr="00E74308">
        <w:tc>
          <w:tcPr>
            <w:tcW w:w="117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75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Oil</w:t>
            </w:r>
          </w:p>
        </w:tc>
        <w:tc>
          <w:tcPr>
            <w:tcW w:w="2205"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33 ppmvd</w:t>
            </w:r>
          </w:p>
        </w:tc>
        <w:tc>
          <w:tcPr>
            <w:tcW w:w="126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105.8</w:t>
            </w:r>
          </w:p>
        </w:tc>
        <w:tc>
          <w:tcPr>
            <w:tcW w:w="333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440" w:type="dxa"/>
            <w:vMerge/>
            <w:tcBorders>
              <w:left w:val="single" w:sz="12" w:space="0" w:color="auto"/>
              <w:bottom w:val="single" w:sz="12" w:space="0" w:color="auto"/>
              <w:right w:val="single" w:sz="12" w:space="0" w:color="auto"/>
            </w:tcBorders>
          </w:tcPr>
          <w:p w:rsidR="00E74308" w:rsidRPr="00E74308" w:rsidRDefault="00E74308" w:rsidP="00E74308">
            <w:pPr>
              <w:jc w:val="center"/>
              <w:rPr>
                <w:strike/>
                <w:sz w:val="22"/>
                <w:szCs w:val="22"/>
                <w:highlight w:val="yellow"/>
              </w:rPr>
            </w:pPr>
          </w:p>
        </w:tc>
      </w:tr>
      <w:tr w:rsidR="00E74308" w:rsidRPr="00E74308" w:rsidTr="00E74308">
        <w:tc>
          <w:tcPr>
            <w:tcW w:w="117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PM/PM</w:t>
            </w:r>
            <w:r w:rsidRPr="00E74308">
              <w:rPr>
                <w:strike/>
                <w:sz w:val="22"/>
                <w:szCs w:val="22"/>
                <w:highlight w:val="yellow"/>
                <w:vertAlign w:val="subscript"/>
              </w:rPr>
              <w:t>10</w:t>
            </w:r>
          </w:p>
        </w:tc>
        <w:tc>
          <w:tcPr>
            <w:tcW w:w="75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Gas</w:t>
            </w:r>
          </w:p>
        </w:tc>
        <w:tc>
          <w:tcPr>
            <w:tcW w:w="2205"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26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18</w:t>
            </w:r>
          </w:p>
        </w:tc>
        <w:tc>
          <w:tcPr>
            <w:tcW w:w="333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100</w:t>
            </w:r>
          </w:p>
        </w:tc>
        <w:tc>
          <w:tcPr>
            <w:tcW w:w="1440" w:type="dxa"/>
            <w:tcBorders>
              <w:top w:val="single" w:sz="12" w:space="0" w:color="auto"/>
              <w:left w:val="single" w:sz="12" w:space="0" w:color="auto"/>
              <w:bottom w:val="single" w:sz="12" w:space="0" w:color="auto"/>
              <w:right w:val="single" w:sz="12" w:space="0" w:color="auto"/>
            </w:tcBorders>
          </w:tcPr>
          <w:p w:rsidR="00E74308" w:rsidRPr="00E74308" w:rsidRDefault="00E74308" w:rsidP="00E74308">
            <w:pPr>
              <w:jc w:val="center"/>
              <w:rPr>
                <w:strike/>
                <w:sz w:val="22"/>
                <w:szCs w:val="22"/>
                <w:highlight w:val="yellow"/>
              </w:rPr>
            </w:pPr>
            <w:r w:rsidRPr="00E74308">
              <w:rPr>
                <w:strike/>
                <w:sz w:val="22"/>
                <w:szCs w:val="22"/>
                <w:highlight w:val="yellow"/>
              </w:rPr>
              <w:t>N/A</w:t>
            </w:r>
          </w:p>
        </w:tc>
      </w:tr>
      <w:tr w:rsidR="00E74308" w:rsidRPr="00E74308" w:rsidTr="00E74308">
        <w:tc>
          <w:tcPr>
            <w:tcW w:w="117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75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Oil</w:t>
            </w:r>
          </w:p>
        </w:tc>
        <w:tc>
          <w:tcPr>
            <w:tcW w:w="2205"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26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60.6</w:t>
            </w:r>
          </w:p>
        </w:tc>
        <w:tc>
          <w:tcPr>
            <w:tcW w:w="333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440" w:type="dxa"/>
            <w:tcBorders>
              <w:top w:val="single" w:sz="12" w:space="0" w:color="auto"/>
              <w:left w:val="single" w:sz="12" w:space="0" w:color="auto"/>
              <w:bottom w:val="single" w:sz="12" w:space="0" w:color="auto"/>
              <w:right w:val="single" w:sz="12" w:space="0" w:color="auto"/>
            </w:tcBorders>
          </w:tcPr>
          <w:p w:rsidR="00E74308" w:rsidRPr="00E74308" w:rsidRDefault="00E74308" w:rsidP="00E74308">
            <w:pPr>
              <w:jc w:val="center"/>
              <w:rPr>
                <w:strike/>
                <w:sz w:val="22"/>
                <w:szCs w:val="22"/>
                <w:highlight w:val="yellow"/>
              </w:rPr>
            </w:pPr>
            <w:r w:rsidRPr="00E74308">
              <w:rPr>
                <w:strike/>
                <w:sz w:val="22"/>
                <w:szCs w:val="22"/>
                <w:highlight w:val="yellow"/>
              </w:rPr>
              <w:t>Stack Test</w:t>
            </w:r>
          </w:p>
        </w:tc>
      </w:tr>
      <w:tr w:rsidR="00E74308" w:rsidRPr="00E74308" w:rsidTr="00E74308">
        <w:tc>
          <w:tcPr>
            <w:tcW w:w="117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Pb</w:t>
            </w:r>
          </w:p>
        </w:tc>
        <w:tc>
          <w:tcPr>
            <w:tcW w:w="75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Gas</w:t>
            </w:r>
          </w:p>
        </w:tc>
        <w:tc>
          <w:tcPr>
            <w:tcW w:w="2205"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26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negligible</w:t>
            </w:r>
          </w:p>
        </w:tc>
        <w:tc>
          <w:tcPr>
            <w:tcW w:w="333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0.015</w:t>
            </w:r>
          </w:p>
        </w:tc>
        <w:tc>
          <w:tcPr>
            <w:tcW w:w="1440" w:type="dxa"/>
            <w:vMerge w:val="restart"/>
            <w:tcBorders>
              <w:top w:val="single" w:sz="12" w:space="0" w:color="auto"/>
              <w:left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N/A</w:t>
            </w:r>
          </w:p>
        </w:tc>
      </w:tr>
      <w:tr w:rsidR="00E74308" w:rsidRPr="00E74308" w:rsidTr="00E74308">
        <w:tc>
          <w:tcPr>
            <w:tcW w:w="117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75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Oil</w:t>
            </w:r>
          </w:p>
        </w:tc>
        <w:tc>
          <w:tcPr>
            <w:tcW w:w="2205"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26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0.015</w:t>
            </w:r>
          </w:p>
        </w:tc>
        <w:tc>
          <w:tcPr>
            <w:tcW w:w="333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440" w:type="dxa"/>
            <w:vMerge/>
            <w:tcBorders>
              <w:left w:val="single" w:sz="12" w:space="0" w:color="auto"/>
              <w:bottom w:val="single" w:sz="12" w:space="0" w:color="auto"/>
              <w:right w:val="single" w:sz="12" w:space="0" w:color="auto"/>
            </w:tcBorders>
          </w:tcPr>
          <w:p w:rsidR="00E74308" w:rsidRPr="00E74308" w:rsidRDefault="00E74308" w:rsidP="00E74308">
            <w:pPr>
              <w:jc w:val="center"/>
              <w:rPr>
                <w:strike/>
                <w:sz w:val="22"/>
                <w:szCs w:val="22"/>
                <w:highlight w:val="yellow"/>
              </w:rPr>
            </w:pPr>
          </w:p>
        </w:tc>
      </w:tr>
      <w:tr w:rsidR="00E74308" w:rsidRPr="00E74308" w:rsidTr="00E74308">
        <w:tc>
          <w:tcPr>
            <w:tcW w:w="117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SO</w:t>
            </w:r>
            <w:r w:rsidRPr="00E74308">
              <w:rPr>
                <w:strike/>
                <w:sz w:val="22"/>
                <w:szCs w:val="22"/>
                <w:highlight w:val="yellow"/>
                <w:vertAlign w:val="subscript"/>
              </w:rPr>
              <w:t>2</w:t>
            </w:r>
          </w:p>
        </w:tc>
        <w:tc>
          <w:tcPr>
            <w:tcW w:w="75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Gas</w:t>
            </w:r>
          </w:p>
        </w:tc>
        <w:tc>
          <w:tcPr>
            <w:tcW w:w="2205"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260" w:type="dxa"/>
            <w:tcBorders>
              <w:top w:val="single" w:sz="12" w:space="0" w:color="auto"/>
              <w:left w:val="single" w:sz="12" w:space="0" w:color="auto"/>
              <w:bottom w:val="single" w:sz="8"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91.5</w:t>
            </w:r>
          </w:p>
        </w:tc>
        <w:tc>
          <w:tcPr>
            <w:tcW w:w="3330" w:type="dxa"/>
            <w:vMerge w:val="restart"/>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568</w:t>
            </w:r>
          </w:p>
        </w:tc>
        <w:tc>
          <w:tcPr>
            <w:tcW w:w="1440" w:type="dxa"/>
            <w:vMerge w:val="restart"/>
            <w:tcBorders>
              <w:top w:val="single" w:sz="12" w:space="0" w:color="auto"/>
              <w:left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Fuel Specs.</w:t>
            </w:r>
          </w:p>
        </w:tc>
      </w:tr>
      <w:tr w:rsidR="00E74308" w:rsidRPr="00E74308" w:rsidTr="00E74308">
        <w:tc>
          <w:tcPr>
            <w:tcW w:w="1170" w:type="dxa"/>
            <w:vMerge/>
            <w:tcBorders>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75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Oil</w:t>
            </w:r>
            <w:r w:rsidRPr="00E74308">
              <w:rPr>
                <w:b/>
                <w:strike/>
                <w:sz w:val="22"/>
                <w:szCs w:val="22"/>
                <w:highlight w:val="yellow"/>
                <w:vertAlign w:val="superscript"/>
              </w:rPr>
              <w:t>c.</w:t>
            </w:r>
          </w:p>
        </w:tc>
        <w:tc>
          <w:tcPr>
            <w:tcW w:w="2205"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260" w:type="dxa"/>
            <w:tcBorders>
              <w:top w:val="single" w:sz="8"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r w:rsidRPr="00E74308">
              <w:rPr>
                <w:strike/>
                <w:sz w:val="22"/>
                <w:szCs w:val="22"/>
                <w:highlight w:val="yellow"/>
              </w:rPr>
              <w:t>920</w:t>
            </w:r>
          </w:p>
        </w:tc>
        <w:tc>
          <w:tcPr>
            <w:tcW w:w="3330" w:type="dxa"/>
            <w:vMerge/>
            <w:tcBorders>
              <w:top w:val="single" w:sz="12" w:space="0" w:color="auto"/>
              <w:left w:val="single" w:sz="12" w:space="0" w:color="auto"/>
              <w:bottom w:val="single" w:sz="12" w:space="0" w:color="auto"/>
              <w:right w:val="single" w:sz="12" w:space="0" w:color="auto"/>
            </w:tcBorders>
            <w:vAlign w:val="center"/>
          </w:tcPr>
          <w:p w:rsidR="00E74308" w:rsidRPr="00E74308" w:rsidRDefault="00E74308" w:rsidP="00E74308">
            <w:pPr>
              <w:jc w:val="center"/>
              <w:rPr>
                <w:strike/>
                <w:sz w:val="22"/>
                <w:szCs w:val="22"/>
                <w:highlight w:val="yellow"/>
              </w:rPr>
            </w:pPr>
          </w:p>
        </w:tc>
        <w:tc>
          <w:tcPr>
            <w:tcW w:w="1440" w:type="dxa"/>
            <w:vMerge/>
            <w:tcBorders>
              <w:left w:val="single" w:sz="12" w:space="0" w:color="auto"/>
              <w:bottom w:val="single" w:sz="12" w:space="0" w:color="auto"/>
              <w:right w:val="single" w:sz="12" w:space="0" w:color="auto"/>
            </w:tcBorders>
          </w:tcPr>
          <w:p w:rsidR="00E74308" w:rsidRPr="00E74308" w:rsidRDefault="00E74308" w:rsidP="00E74308">
            <w:pPr>
              <w:jc w:val="center"/>
              <w:rPr>
                <w:strike/>
                <w:sz w:val="22"/>
                <w:szCs w:val="22"/>
                <w:highlight w:val="yellow"/>
              </w:rPr>
            </w:pPr>
          </w:p>
        </w:tc>
      </w:tr>
      <w:tr w:rsidR="00E74308" w:rsidRPr="00E74308" w:rsidTr="00E74308">
        <w:trPr>
          <w:trHeight w:val="1095"/>
        </w:trPr>
        <w:tc>
          <w:tcPr>
            <w:tcW w:w="10155" w:type="dxa"/>
            <w:gridSpan w:val="6"/>
            <w:tcBorders>
              <w:left w:val="single" w:sz="12" w:space="0" w:color="auto"/>
              <w:bottom w:val="single" w:sz="12" w:space="0" w:color="auto"/>
              <w:right w:val="single" w:sz="12" w:space="0" w:color="auto"/>
            </w:tcBorders>
            <w:vAlign w:val="center"/>
          </w:tcPr>
          <w:p w:rsidR="00E74308" w:rsidRPr="00E74308" w:rsidRDefault="00E74308" w:rsidP="00CB423F">
            <w:pPr>
              <w:numPr>
                <w:ilvl w:val="0"/>
                <w:numId w:val="30"/>
              </w:numPr>
              <w:ind w:left="342"/>
              <w:rPr>
                <w:strike/>
                <w:sz w:val="22"/>
                <w:szCs w:val="22"/>
                <w:highlight w:val="yellow"/>
              </w:rPr>
            </w:pPr>
            <w:r w:rsidRPr="00E74308">
              <w:rPr>
                <w:strike/>
                <w:sz w:val="22"/>
                <w:szCs w:val="22"/>
                <w:highlight w:val="yellow"/>
              </w:rPr>
              <w:t>Tons per year (TPY) emission limits listed for natural gas and oil combined apply as an emissions cap based on limiting oil firing to an annual aggregate of 2,000 hours for the 4 CT units, with compliance to be demonstrated in annual operation reports.</w:t>
            </w:r>
          </w:p>
          <w:p w:rsidR="00E74308" w:rsidRPr="00E74308" w:rsidRDefault="00E74308" w:rsidP="00CB423F">
            <w:pPr>
              <w:numPr>
                <w:ilvl w:val="0"/>
                <w:numId w:val="30"/>
              </w:numPr>
              <w:ind w:left="342"/>
              <w:rPr>
                <w:strike/>
                <w:sz w:val="22"/>
                <w:szCs w:val="22"/>
                <w:highlight w:val="yellow"/>
              </w:rPr>
            </w:pPr>
            <w:r w:rsidRPr="00E74308">
              <w:rPr>
                <w:strike/>
                <w:sz w:val="22"/>
                <w:szCs w:val="22"/>
                <w:highlight w:val="yellow"/>
              </w:rPr>
              <w:t>Exclusive of background concentrations.</w:t>
            </w:r>
          </w:p>
          <w:p w:rsidR="00E74308" w:rsidRPr="00E74308" w:rsidRDefault="00E74308" w:rsidP="00CB423F">
            <w:pPr>
              <w:numPr>
                <w:ilvl w:val="0"/>
                <w:numId w:val="30"/>
              </w:numPr>
              <w:ind w:left="342"/>
              <w:rPr>
                <w:strike/>
                <w:sz w:val="22"/>
                <w:szCs w:val="22"/>
                <w:highlight w:val="yellow"/>
              </w:rPr>
            </w:pPr>
            <w:r w:rsidRPr="00E74308">
              <w:rPr>
                <w:strike/>
                <w:sz w:val="22"/>
                <w:szCs w:val="22"/>
                <w:highlight w:val="yellow"/>
              </w:rPr>
              <w:t>Sulfur dioxide emissions based on a maximum of 0.5 percent sulfur content, by weight, in oil for hourly emissions and an average sulfur content of 0.3 percent, by weight, for annual emissions.</w:t>
            </w:r>
          </w:p>
        </w:tc>
      </w:tr>
    </w:tbl>
    <w:p w:rsidR="00E74308" w:rsidRPr="00E74308" w:rsidRDefault="00E74308" w:rsidP="00E74308">
      <w:pPr>
        <w:spacing w:after="120"/>
        <w:ind w:left="720"/>
        <w:rPr>
          <w:strike/>
          <w:sz w:val="22"/>
          <w:szCs w:val="22"/>
          <w:u w:val="single"/>
        </w:rPr>
      </w:pPr>
      <w:bookmarkStart w:id="22" w:name="_Hlk505245469"/>
      <w:bookmarkEnd w:id="21"/>
      <w:r w:rsidRPr="00E74308">
        <w:rPr>
          <w:strike/>
          <w:sz w:val="22"/>
          <w:szCs w:val="22"/>
          <w:highlight w:val="yellow"/>
        </w:rPr>
        <w:t>[Rule 62-212.400(BACT), F.A.C.; and, Permit No. PSD-FL-146, Specific Condition No. 4.]</w:t>
      </w:r>
      <w:bookmarkEnd w:id="22"/>
    </w:p>
    <w:p w:rsidR="00E74308" w:rsidRPr="00DC0471" w:rsidRDefault="00E74308" w:rsidP="00CB423F">
      <w:pPr>
        <w:numPr>
          <w:ilvl w:val="0"/>
          <w:numId w:val="31"/>
        </w:numPr>
        <w:tabs>
          <w:tab w:val="left" w:pos="630"/>
          <w:tab w:val="left" w:pos="1080"/>
        </w:tabs>
        <w:spacing w:after="120"/>
        <w:rPr>
          <w:sz w:val="22"/>
          <w:szCs w:val="22"/>
          <w:highlight w:val="yellow"/>
        </w:rPr>
      </w:pPr>
      <w:r w:rsidRPr="00DC0471">
        <w:rPr>
          <w:sz w:val="22"/>
          <w:szCs w:val="22"/>
          <w:highlight w:val="yellow"/>
          <w:u w:val="double"/>
        </w:rPr>
        <w:t xml:space="preserve">Annual Mass Emissions Rates.  Tons per year (TPY) emissions limits listed for natural gas and oil combined in Specific Conditions </w:t>
      </w:r>
      <w:r w:rsidRPr="00DC0471">
        <w:rPr>
          <w:b/>
          <w:sz w:val="22"/>
          <w:szCs w:val="22"/>
          <w:highlight w:val="yellow"/>
          <w:u w:val="double"/>
        </w:rPr>
        <w:t>B.10</w:t>
      </w:r>
      <w:r w:rsidRPr="00DC0471">
        <w:rPr>
          <w:sz w:val="22"/>
          <w:szCs w:val="22"/>
          <w:highlight w:val="yellow"/>
          <w:u w:val="double"/>
        </w:rPr>
        <w:t xml:space="preserve"> through </w:t>
      </w:r>
      <w:r w:rsidRPr="00DC0471">
        <w:rPr>
          <w:b/>
          <w:sz w:val="22"/>
          <w:szCs w:val="22"/>
          <w:highlight w:val="yellow"/>
          <w:u w:val="double"/>
        </w:rPr>
        <w:t>B.15</w:t>
      </w:r>
      <w:r w:rsidRPr="00DC0471">
        <w:rPr>
          <w:sz w:val="22"/>
          <w:szCs w:val="22"/>
          <w:highlight w:val="yellow"/>
          <w:u w:val="double"/>
        </w:rPr>
        <w:t xml:space="preserve"> apply as an emissions cap based on limiting oil firing to an annual aggregate of 2,000 hours for the 4 CT units, with compliance to be demonstrated in annual operation reports (AORs).  [Permit No. PSD-FL-146, Specific Condition 4.]</w:t>
      </w:r>
    </w:p>
    <w:p w:rsidR="00E74308" w:rsidRPr="00E74308" w:rsidRDefault="00E74308" w:rsidP="00CB423F">
      <w:pPr>
        <w:numPr>
          <w:ilvl w:val="0"/>
          <w:numId w:val="31"/>
        </w:numPr>
        <w:tabs>
          <w:tab w:val="num" w:pos="0"/>
          <w:tab w:val="left" w:pos="630"/>
          <w:tab w:val="left" w:pos="1080"/>
        </w:tabs>
        <w:rPr>
          <w:sz w:val="22"/>
          <w:szCs w:val="22"/>
          <w:highlight w:val="yellow"/>
          <w:u w:val="double"/>
        </w:rPr>
      </w:pPr>
      <w:bookmarkStart w:id="23" w:name="_Ref520201343"/>
      <w:r w:rsidRPr="00E74308">
        <w:rPr>
          <w:sz w:val="22"/>
          <w:szCs w:val="22"/>
          <w:highlight w:val="yellow"/>
          <w:u w:val="double"/>
        </w:rPr>
        <w:t>NO</w:t>
      </w:r>
      <w:r w:rsidRPr="00E74308">
        <w:rPr>
          <w:sz w:val="22"/>
          <w:szCs w:val="22"/>
          <w:highlight w:val="yellow"/>
          <w:u w:val="double"/>
          <w:vertAlign w:val="subscript"/>
        </w:rPr>
        <w:t>X</w:t>
      </w:r>
      <w:r w:rsidRPr="00E74308">
        <w:rPr>
          <w:sz w:val="22"/>
          <w:szCs w:val="22"/>
          <w:highlight w:val="yellow"/>
          <w:u w:val="double"/>
        </w:rPr>
        <w:t xml:space="preserve"> Emissions.  The permittee shall comply with the following NO</w:t>
      </w:r>
      <w:r w:rsidRPr="00E74308">
        <w:rPr>
          <w:sz w:val="22"/>
          <w:szCs w:val="22"/>
          <w:highlight w:val="yellow"/>
          <w:u w:val="double"/>
          <w:vertAlign w:val="subscript"/>
        </w:rPr>
        <w:t>X</w:t>
      </w:r>
      <w:r w:rsidRPr="00E74308">
        <w:rPr>
          <w:sz w:val="22"/>
          <w:szCs w:val="22"/>
          <w:highlight w:val="yellow"/>
          <w:u w:val="double"/>
        </w:rPr>
        <w:t xml:space="preserve"> emissions standards:</w:t>
      </w:r>
      <w:bookmarkEnd w:id="23"/>
    </w:p>
    <w:p w:rsidR="00E74308" w:rsidRPr="00E74308" w:rsidRDefault="00E74308" w:rsidP="00CB423F">
      <w:pPr>
        <w:numPr>
          <w:ilvl w:val="0"/>
          <w:numId w:val="32"/>
        </w:numPr>
        <w:spacing w:after="120"/>
        <w:ind w:left="1080"/>
        <w:contextualSpacing/>
        <w:rPr>
          <w:sz w:val="22"/>
          <w:szCs w:val="22"/>
          <w:highlight w:val="yellow"/>
          <w:u w:val="double"/>
        </w:rPr>
      </w:pPr>
      <w:r w:rsidRPr="00E74308">
        <w:rPr>
          <w:i/>
          <w:sz w:val="22"/>
          <w:szCs w:val="22"/>
          <w:highlight w:val="yellow"/>
          <w:u w:val="double"/>
        </w:rPr>
        <w:t xml:space="preserve">BACT Limits.  </w:t>
      </w:r>
      <w:r w:rsidRPr="00E74308">
        <w:rPr>
          <w:sz w:val="22"/>
          <w:szCs w:val="22"/>
          <w:highlight w:val="yellow"/>
          <w:u w:val="double"/>
        </w:rPr>
        <w:t>As determined by CEMS, the NO</w:t>
      </w:r>
      <w:r w:rsidRPr="00E74308">
        <w:rPr>
          <w:sz w:val="22"/>
          <w:szCs w:val="22"/>
          <w:highlight w:val="yellow"/>
          <w:u w:val="double"/>
          <w:vertAlign w:val="subscript"/>
        </w:rPr>
        <w:t>X</w:t>
      </w:r>
      <w:r w:rsidRPr="00E74308">
        <w:rPr>
          <w:sz w:val="22"/>
          <w:szCs w:val="22"/>
          <w:highlight w:val="yellow"/>
          <w:u w:val="double"/>
        </w:rPr>
        <w:t xml:space="preserve"> emissions shall not exceed the following, at 40⁰F, except during periods of startup, shutdown, </w:t>
      </w:r>
      <w:r w:rsidR="00107385" w:rsidRPr="00107385">
        <w:rPr>
          <w:sz w:val="22"/>
          <w:szCs w:val="22"/>
          <w:highlight w:val="yellow"/>
          <w:u w:val="double"/>
        </w:rPr>
        <w:t xml:space="preserve">documented malfunction, DLN tuning and Full Speed No Load (FSNL) testing, as specified in Specific Conditions </w:t>
      </w:r>
      <w:r w:rsidR="00107385">
        <w:rPr>
          <w:b/>
          <w:sz w:val="22"/>
          <w:szCs w:val="22"/>
          <w:highlight w:val="yellow"/>
          <w:u w:val="double"/>
        </w:rPr>
        <w:t>B.18</w:t>
      </w:r>
      <w:r w:rsidR="00107385" w:rsidRPr="00107385">
        <w:rPr>
          <w:sz w:val="22"/>
          <w:szCs w:val="22"/>
          <w:highlight w:val="yellow"/>
          <w:u w:val="double"/>
        </w:rPr>
        <w:t xml:space="preserve"> and </w:t>
      </w:r>
      <w:r w:rsidR="00107385">
        <w:rPr>
          <w:b/>
          <w:sz w:val="22"/>
          <w:szCs w:val="22"/>
          <w:highlight w:val="yellow"/>
          <w:u w:val="double"/>
        </w:rPr>
        <w:t>B.19</w:t>
      </w:r>
      <w:r w:rsidRPr="00E74308">
        <w:rPr>
          <w:sz w:val="22"/>
          <w:szCs w:val="22"/>
          <w:highlight w:val="yellow"/>
          <w:u w:val="double"/>
        </w:rPr>
        <w:t>:</w:t>
      </w:r>
    </w:p>
    <w:p w:rsidR="00E74308" w:rsidRPr="00E74308" w:rsidRDefault="00E74308" w:rsidP="00CB423F">
      <w:pPr>
        <w:numPr>
          <w:ilvl w:val="0"/>
          <w:numId w:val="33"/>
        </w:numPr>
        <w:spacing w:after="120"/>
        <w:ind w:left="1440"/>
        <w:contextualSpacing/>
        <w:rPr>
          <w:sz w:val="22"/>
          <w:szCs w:val="22"/>
          <w:highlight w:val="yellow"/>
          <w:u w:val="double"/>
        </w:rPr>
      </w:pPr>
      <w:r w:rsidRPr="00E74308">
        <w:rPr>
          <w:i/>
          <w:sz w:val="22"/>
          <w:szCs w:val="22"/>
          <w:highlight w:val="yellow"/>
          <w:u w:val="double"/>
        </w:rPr>
        <w:t>Natural Gas.</w:t>
      </w:r>
    </w:p>
    <w:p w:rsidR="00E74308" w:rsidRPr="00E74308" w:rsidRDefault="00E74308" w:rsidP="00CB423F">
      <w:pPr>
        <w:numPr>
          <w:ilvl w:val="0"/>
          <w:numId w:val="34"/>
        </w:numPr>
        <w:spacing w:after="120"/>
        <w:ind w:left="1800"/>
        <w:contextualSpacing/>
        <w:rPr>
          <w:sz w:val="22"/>
          <w:szCs w:val="22"/>
          <w:highlight w:val="yellow"/>
          <w:u w:val="double"/>
        </w:rPr>
      </w:pPr>
      <w:r w:rsidRPr="00E74308">
        <w:rPr>
          <w:sz w:val="22"/>
          <w:szCs w:val="22"/>
          <w:highlight w:val="yellow"/>
          <w:u w:val="double"/>
        </w:rPr>
        <w:t>25 parts per million by volume, dry at 15% oxygen (ppmvd at 15% O</w:t>
      </w:r>
      <w:r w:rsidRPr="00E74308">
        <w:rPr>
          <w:sz w:val="22"/>
          <w:szCs w:val="22"/>
          <w:highlight w:val="yellow"/>
          <w:u w:val="double"/>
          <w:vertAlign w:val="subscript"/>
        </w:rPr>
        <w:t>2</w:t>
      </w:r>
      <w:r w:rsidRPr="00E74308">
        <w:rPr>
          <w:sz w:val="22"/>
          <w:szCs w:val="22"/>
          <w:highlight w:val="yellow"/>
          <w:u w:val="double"/>
        </w:rPr>
        <w:t>), based on a 30-day rolling average; and</w:t>
      </w:r>
    </w:p>
    <w:p w:rsidR="00E74308" w:rsidRPr="00E74308" w:rsidRDefault="00E74308" w:rsidP="00CB423F">
      <w:pPr>
        <w:numPr>
          <w:ilvl w:val="0"/>
          <w:numId w:val="34"/>
        </w:numPr>
        <w:spacing w:after="120"/>
        <w:ind w:left="1800"/>
        <w:contextualSpacing/>
        <w:rPr>
          <w:sz w:val="22"/>
          <w:szCs w:val="22"/>
          <w:highlight w:val="yellow"/>
          <w:u w:val="double"/>
        </w:rPr>
      </w:pPr>
      <w:r w:rsidRPr="00E74308">
        <w:rPr>
          <w:sz w:val="22"/>
          <w:szCs w:val="22"/>
          <w:highlight w:val="yellow"/>
          <w:u w:val="double"/>
        </w:rPr>
        <w:t>177 pounds per hour per CT (lb/hr/CT), based on a 30-day rolling average.</w:t>
      </w:r>
    </w:p>
    <w:p w:rsidR="00E74308" w:rsidRPr="00E74308" w:rsidRDefault="00E74308" w:rsidP="00CB423F">
      <w:pPr>
        <w:numPr>
          <w:ilvl w:val="0"/>
          <w:numId w:val="33"/>
        </w:numPr>
        <w:spacing w:after="120"/>
        <w:ind w:left="1440"/>
        <w:contextualSpacing/>
        <w:rPr>
          <w:sz w:val="22"/>
          <w:szCs w:val="22"/>
          <w:highlight w:val="yellow"/>
          <w:u w:val="double"/>
        </w:rPr>
      </w:pPr>
      <w:r w:rsidRPr="00E74308">
        <w:rPr>
          <w:i/>
          <w:sz w:val="22"/>
          <w:szCs w:val="22"/>
          <w:highlight w:val="yellow"/>
          <w:u w:val="double"/>
        </w:rPr>
        <w:t>Fuel Oil.</w:t>
      </w:r>
    </w:p>
    <w:p w:rsidR="00E74308" w:rsidRPr="00E74308" w:rsidRDefault="00E74308" w:rsidP="00CB423F">
      <w:pPr>
        <w:numPr>
          <w:ilvl w:val="0"/>
          <w:numId w:val="35"/>
        </w:numPr>
        <w:spacing w:after="120"/>
        <w:contextualSpacing/>
        <w:rPr>
          <w:sz w:val="22"/>
          <w:szCs w:val="22"/>
          <w:highlight w:val="yellow"/>
          <w:u w:val="double"/>
        </w:rPr>
      </w:pPr>
      <w:r w:rsidRPr="00E74308">
        <w:rPr>
          <w:sz w:val="22"/>
          <w:szCs w:val="22"/>
          <w:highlight w:val="yellow"/>
          <w:u w:val="double"/>
        </w:rPr>
        <w:t>65 ppmvd at 15% O</w:t>
      </w:r>
      <w:r w:rsidRPr="00E74308">
        <w:rPr>
          <w:sz w:val="22"/>
          <w:szCs w:val="22"/>
          <w:highlight w:val="yellow"/>
          <w:u w:val="double"/>
          <w:vertAlign w:val="subscript"/>
        </w:rPr>
        <w:t>2</w:t>
      </w:r>
      <w:r w:rsidRPr="00E74308">
        <w:rPr>
          <w:sz w:val="22"/>
          <w:szCs w:val="22"/>
          <w:highlight w:val="yellow"/>
          <w:u w:val="double"/>
        </w:rPr>
        <w:t>, based on a 30-day rolling average; and</w:t>
      </w:r>
    </w:p>
    <w:p w:rsidR="00E74308" w:rsidRPr="00E74308" w:rsidRDefault="00E74308" w:rsidP="00CB423F">
      <w:pPr>
        <w:numPr>
          <w:ilvl w:val="0"/>
          <w:numId w:val="35"/>
        </w:numPr>
        <w:spacing w:after="120"/>
        <w:contextualSpacing/>
        <w:rPr>
          <w:sz w:val="22"/>
          <w:szCs w:val="22"/>
          <w:highlight w:val="yellow"/>
          <w:u w:val="double"/>
        </w:rPr>
      </w:pPr>
      <w:r w:rsidRPr="00E74308">
        <w:rPr>
          <w:sz w:val="22"/>
          <w:szCs w:val="22"/>
          <w:highlight w:val="yellow"/>
          <w:u w:val="double"/>
        </w:rPr>
        <w:t>461 lb/hr/CT, based on a 30-day rolling average</w:t>
      </w:r>
    </w:p>
    <w:p w:rsidR="00E74308" w:rsidRPr="00E74308" w:rsidRDefault="00E74308" w:rsidP="00CB423F">
      <w:pPr>
        <w:numPr>
          <w:ilvl w:val="0"/>
          <w:numId w:val="33"/>
        </w:numPr>
        <w:spacing w:after="120"/>
        <w:ind w:left="1440"/>
        <w:contextualSpacing/>
        <w:rPr>
          <w:sz w:val="22"/>
          <w:szCs w:val="22"/>
          <w:highlight w:val="yellow"/>
          <w:u w:val="double"/>
        </w:rPr>
      </w:pPr>
      <w:r w:rsidRPr="00E74308">
        <w:rPr>
          <w:i/>
          <w:sz w:val="22"/>
          <w:szCs w:val="22"/>
          <w:highlight w:val="yellow"/>
          <w:u w:val="double"/>
        </w:rPr>
        <w:t>Natural Gas and Fuel Oil.</w:t>
      </w:r>
      <w:r w:rsidRPr="00E74308">
        <w:rPr>
          <w:sz w:val="22"/>
          <w:szCs w:val="22"/>
          <w:highlight w:val="yellow"/>
          <w:u w:val="double"/>
        </w:rPr>
        <w:t xml:space="preserve">  3,108 TPY per CT (TPY/CT) for the combined total of emissions generated through natural gas and fuel oil firing.</w:t>
      </w:r>
    </w:p>
    <w:p w:rsidR="00E74308" w:rsidRPr="00E74308" w:rsidRDefault="00E74308" w:rsidP="00CB423F">
      <w:pPr>
        <w:numPr>
          <w:ilvl w:val="0"/>
          <w:numId w:val="32"/>
        </w:numPr>
        <w:spacing w:after="120"/>
        <w:ind w:left="1080"/>
        <w:contextualSpacing/>
        <w:rPr>
          <w:i/>
          <w:sz w:val="22"/>
          <w:szCs w:val="22"/>
          <w:highlight w:val="yellow"/>
          <w:u w:val="single"/>
        </w:rPr>
      </w:pPr>
      <w:r w:rsidRPr="00E74308">
        <w:rPr>
          <w:i/>
          <w:sz w:val="22"/>
          <w:szCs w:val="22"/>
          <w:highlight w:val="yellow"/>
          <w:u w:val="double"/>
        </w:rPr>
        <w:t>NSPS Limits.  The permittee shall not cause to be discharged into the atmosphere from any stationary gas turbine, any gases which contain NO</w:t>
      </w:r>
      <w:r w:rsidRPr="00E74308">
        <w:rPr>
          <w:i/>
          <w:sz w:val="22"/>
          <w:szCs w:val="22"/>
          <w:highlight w:val="yellow"/>
          <w:u w:val="double"/>
          <w:vertAlign w:val="subscript"/>
        </w:rPr>
        <w:t>X</w:t>
      </w:r>
      <w:r w:rsidRPr="00E74308">
        <w:rPr>
          <w:i/>
          <w:sz w:val="22"/>
          <w:szCs w:val="22"/>
          <w:highlight w:val="yellow"/>
          <w:u w:val="double"/>
        </w:rPr>
        <w:t xml:space="preserve"> in excess of:</w:t>
      </w:r>
    </w:p>
    <w:p w:rsidR="00E74308" w:rsidRPr="00E74308" w:rsidRDefault="00E74308" w:rsidP="00DC0471">
      <w:pPr>
        <w:spacing w:after="60"/>
        <w:ind w:left="1080"/>
        <w:rPr>
          <w:i/>
          <w:sz w:val="22"/>
          <w:szCs w:val="22"/>
          <w:highlight w:val="yellow"/>
          <w:u w:val="double"/>
        </w:rPr>
      </w:pPr>
      <m:oMath>
        <m:r>
          <w:rPr>
            <w:rFonts w:ascii="Cambria Math" w:hAnsi="Cambria Math"/>
            <w:sz w:val="22"/>
            <w:szCs w:val="22"/>
            <w:highlight w:val="yellow"/>
            <w:u w:val="double"/>
          </w:rPr>
          <m:t>STD=0.0075</m:t>
        </m:r>
        <m:f>
          <m:fPr>
            <m:ctrlPr>
              <w:rPr>
                <w:rFonts w:ascii="Cambria Math" w:hAnsi="Cambria Math"/>
                <w:i/>
                <w:sz w:val="22"/>
                <w:szCs w:val="22"/>
                <w:highlight w:val="yellow"/>
                <w:u w:val="double"/>
              </w:rPr>
            </m:ctrlPr>
          </m:fPr>
          <m:num>
            <m:r>
              <w:rPr>
                <w:rFonts w:ascii="Cambria Math" w:hAnsi="Cambria Math"/>
                <w:sz w:val="22"/>
                <w:szCs w:val="22"/>
                <w:highlight w:val="yellow"/>
                <w:u w:val="double"/>
              </w:rPr>
              <m:t>(14.4)</m:t>
            </m:r>
          </m:num>
          <m:den>
            <m:r>
              <w:rPr>
                <w:rFonts w:ascii="Cambria Math" w:hAnsi="Cambria Math"/>
                <w:sz w:val="22"/>
                <w:szCs w:val="22"/>
                <w:highlight w:val="yellow"/>
                <w:u w:val="double"/>
              </w:rPr>
              <m:t>Y</m:t>
            </m:r>
          </m:den>
        </m:f>
        <m:r>
          <w:rPr>
            <w:rFonts w:ascii="Cambria Math" w:hAnsi="Cambria Math"/>
            <w:sz w:val="22"/>
            <w:szCs w:val="22"/>
            <w:highlight w:val="yellow"/>
            <w:u w:val="double"/>
          </w:rPr>
          <m:t>+F</m:t>
        </m:r>
      </m:oMath>
      <w:r w:rsidRPr="00E74308">
        <w:rPr>
          <w:i/>
          <w:sz w:val="22"/>
          <w:szCs w:val="22"/>
          <w:highlight w:val="yellow"/>
          <w:u w:val="double"/>
        </w:rPr>
        <w:t xml:space="preserve"> </w:t>
      </w:r>
    </w:p>
    <w:p w:rsidR="00E74308" w:rsidRPr="00E74308" w:rsidRDefault="00E74308" w:rsidP="00DC0471">
      <w:pPr>
        <w:ind w:left="1080"/>
        <w:rPr>
          <w:sz w:val="22"/>
          <w:szCs w:val="22"/>
          <w:highlight w:val="yellow"/>
          <w:u w:val="double"/>
        </w:rPr>
      </w:pPr>
      <w:r w:rsidRPr="00E74308">
        <w:rPr>
          <w:sz w:val="22"/>
          <w:szCs w:val="22"/>
          <w:highlight w:val="yellow"/>
          <w:u w:val="double"/>
        </w:rPr>
        <w:t xml:space="preserve">Where: </w:t>
      </w:r>
    </w:p>
    <w:p w:rsidR="00E74308" w:rsidRPr="00E74308" w:rsidRDefault="00E74308" w:rsidP="00DC0471">
      <w:pPr>
        <w:ind w:left="1440" w:hanging="360"/>
        <w:rPr>
          <w:sz w:val="22"/>
          <w:szCs w:val="22"/>
          <w:highlight w:val="yellow"/>
          <w:u w:val="double"/>
        </w:rPr>
      </w:pPr>
      <w:r w:rsidRPr="00E74308">
        <w:rPr>
          <w:sz w:val="22"/>
          <w:szCs w:val="22"/>
          <w:highlight w:val="yellow"/>
          <w:u w:val="double"/>
        </w:rPr>
        <w:t>STD = allowable ISO corrected (if required as given in 40 CFR 60.335(b)(1)) NO</w:t>
      </w:r>
      <w:r w:rsidRPr="00E74308">
        <w:rPr>
          <w:sz w:val="22"/>
          <w:szCs w:val="22"/>
          <w:highlight w:val="yellow"/>
          <w:u w:val="double"/>
          <w:vertAlign w:val="subscript"/>
        </w:rPr>
        <w:t>X</w:t>
      </w:r>
      <w:r w:rsidRPr="00E74308">
        <w:rPr>
          <w:sz w:val="22"/>
          <w:szCs w:val="22"/>
          <w:highlight w:val="yellow"/>
          <w:u w:val="double"/>
        </w:rPr>
        <w:t xml:space="preserve"> emission concentration (percent by volume at 15% O</w:t>
      </w:r>
      <w:r w:rsidRPr="00E74308">
        <w:rPr>
          <w:sz w:val="22"/>
          <w:szCs w:val="22"/>
          <w:highlight w:val="yellow"/>
          <w:u w:val="double"/>
          <w:vertAlign w:val="subscript"/>
        </w:rPr>
        <w:t>2</w:t>
      </w:r>
      <w:r w:rsidRPr="00E74308">
        <w:rPr>
          <w:sz w:val="22"/>
          <w:szCs w:val="22"/>
          <w:highlight w:val="yellow"/>
          <w:u w:val="double"/>
        </w:rPr>
        <w:t xml:space="preserve"> on a dry basis),</w:t>
      </w:r>
    </w:p>
    <w:p w:rsidR="00E74308" w:rsidRPr="00E74308" w:rsidRDefault="00E74308" w:rsidP="00DC0471">
      <w:pPr>
        <w:ind w:left="1440" w:hanging="360"/>
        <w:rPr>
          <w:sz w:val="22"/>
          <w:szCs w:val="22"/>
          <w:highlight w:val="yellow"/>
          <w:u w:val="double"/>
        </w:rPr>
      </w:pPr>
      <w:r w:rsidRPr="00E74308">
        <w:rPr>
          <w:sz w:val="22"/>
          <w:szCs w:val="22"/>
          <w:highlight w:val="yellow"/>
          <w:u w:val="double"/>
        </w:rPr>
        <w:t>Y = manufacturer’s rated heat rate at manufacturer’s rated peak load (kilojoules per watt hour), or actual measured heat rate based on lower heating value of fuel as measured at actual peak load for the facility.  The value of Y shall not exceed 14.4 kilojoules per watt hour, and</w:t>
      </w:r>
    </w:p>
    <w:p w:rsidR="00E74308" w:rsidRPr="00E74308" w:rsidRDefault="00E74308" w:rsidP="00DC0471">
      <w:pPr>
        <w:ind w:left="1440" w:hanging="360"/>
        <w:rPr>
          <w:sz w:val="22"/>
          <w:szCs w:val="22"/>
          <w:highlight w:val="yellow"/>
          <w:u w:val="double"/>
        </w:rPr>
      </w:pPr>
      <w:r w:rsidRPr="00E74308">
        <w:rPr>
          <w:sz w:val="22"/>
          <w:szCs w:val="22"/>
          <w:highlight w:val="yellow"/>
          <w:u w:val="double"/>
        </w:rPr>
        <w:t>F = Optional NO</w:t>
      </w:r>
      <w:r w:rsidRPr="00E74308">
        <w:rPr>
          <w:sz w:val="22"/>
          <w:szCs w:val="22"/>
          <w:highlight w:val="yellow"/>
          <w:u w:val="double"/>
          <w:vertAlign w:val="subscript"/>
        </w:rPr>
        <w:t>X</w:t>
      </w:r>
      <w:r w:rsidRPr="00E74308">
        <w:rPr>
          <w:sz w:val="22"/>
          <w:szCs w:val="22"/>
          <w:highlight w:val="yellow"/>
          <w:u w:val="double"/>
        </w:rPr>
        <w:t xml:space="preserve"> emission allowance for fuel-bound nitrogen as defined in 40 CFR 60.332(a)(4) (see Appendix NSPS, Subpart GG).</w:t>
      </w:r>
    </w:p>
    <w:p w:rsidR="00E74308" w:rsidRPr="00EA1DBC" w:rsidRDefault="00E74308" w:rsidP="00DC0471">
      <w:pPr>
        <w:spacing w:after="120"/>
        <w:ind w:left="720"/>
        <w:rPr>
          <w:sz w:val="22"/>
          <w:szCs w:val="22"/>
          <w:highlight w:val="yellow"/>
          <w:u w:val="double"/>
        </w:rPr>
      </w:pPr>
      <w:r w:rsidRPr="00EA1DBC">
        <w:rPr>
          <w:sz w:val="22"/>
          <w:szCs w:val="22"/>
          <w:highlight w:val="yellow"/>
          <w:u w:val="double"/>
        </w:rPr>
        <w:t>[Rule 62-212.400(BACT), F.A.C.; 40 CFR 60.332(a)(1)-(4) &amp; (b); and, Permit Nos. PSD-FL-146, Specific Condition 4. &amp; 0850001-032-AC</w:t>
      </w:r>
      <w:r w:rsidR="00EA1DBC" w:rsidRPr="00EA1DBC">
        <w:rPr>
          <w:sz w:val="22"/>
          <w:szCs w:val="22"/>
          <w:highlight w:val="yellow"/>
          <w:u w:val="double"/>
        </w:rPr>
        <w:t>/PSD-FL-146H &amp; 327F</w:t>
      </w:r>
      <w:r w:rsidRPr="00EA1DBC">
        <w:rPr>
          <w:sz w:val="22"/>
          <w:szCs w:val="22"/>
          <w:highlight w:val="yellow"/>
          <w:u w:val="double"/>
        </w:rPr>
        <w:t xml:space="preserve">] </w:t>
      </w:r>
    </w:p>
    <w:p w:rsidR="00E74308" w:rsidRPr="00E74308" w:rsidRDefault="00E74308" w:rsidP="00DC0471">
      <w:pPr>
        <w:spacing w:after="120"/>
        <w:ind w:left="720"/>
        <w:rPr>
          <w:sz w:val="22"/>
          <w:szCs w:val="22"/>
          <w:highlight w:val="yellow"/>
          <w:u w:val="double"/>
        </w:rPr>
      </w:pPr>
      <w:r w:rsidRPr="00E74308">
        <w:rPr>
          <w:i/>
          <w:sz w:val="22"/>
          <w:szCs w:val="22"/>
          <w:highlight w:val="yellow"/>
          <w:u w:val="double"/>
        </w:rPr>
        <w:t>{Permitting Note:  Chapter 403.0872(13)(b) of the Florida Statutes states that, for emission units that are subject to continuous monitoring requirements under 40 CFR 75, compliance with NO</w:t>
      </w:r>
      <w:r w:rsidRPr="00E74308">
        <w:rPr>
          <w:i/>
          <w:sz w:val="22"/>
          <w:szCs w:val="22"/>
          <w:highlight w:val="yellow"/>
          <w:u w:val="double"/>
          <w:vertAlign w:val="subscript"/>
        </w:rPr>
        <w:t>X</w:t>
      </w:r>
      <w:r w:rsidRPr="00E74308">
        <w:rPr>
          <w:i/>
          <w:sz w:val="22"/>
          <w:szCs w:val="22"/>
          <w:highlight w:val="yellow"/>
          <w:u w:val="double"/>
        </w:rPr>
        <w:t xml:space="preserve"> emission limits shall be demonstrated based on a 30-day rolling average, except as specifically provided by 40 CFR part 60 or part 76.}</w:t>
      </w:r>
    </w:p>
    <w:p w:rsidR="00DC0471" w:rsidRPr="00360F04" w:rsidRDefault="00DC0471" w:rsidP="00CB423F">
      <w:pPr>
        <w:numPr>
          <w:ilvl w:val="0"/>
          <w:numId w:val="31"/>
        </w:numPr>
        <w:tabs>
          <w:tab w:val="num" w:pos="0"/>
          <w:tab w:val="left" w:pos="630"/>
          <w:tab w:val="left" w:pos="1080"/>
        </w:tabs>
        <w:rPr>
          <w:sz w:val="22"/>
          <w:szCs w:val="22"/>
          <w:highlight w:val="yellow"/>
          <w:u w:val="double"/>
        </w:rPr>
      </w:pPr>
      <w:r w:rsidRPr="00360F04">
        <w:rPr>
          <w:sz w:val="22"/>
          <w:szCs w:val="22"/>
          <w:highlight w:val="yellow"/>
          <w:u w:val="double"/>
        </w:rPr>
        <w:t xml:space="preserve">VOC Emissions.  </w:t>
      </w:r>
      <w:r w:rsidR="00360F04" w:rsidRPr="00360F04">
        <w:rPr>
          <w:sz w:val="22"/>
          <w:szCs w:val="22"/>
          <w:highlight w:val="yellow"/>
          <w:u w:val="double"/>
        </w:rPr>
        <w:t>The emissions standards in this condition are exclusive of background concentrations.  As determined by compliance with CO emissions standards or stack test, VOC emissions shall not exceed the following, at 40⁰F, except during periods of startup and shutdown</w:t>
      </w:r>
      <w:r w:rsidRPr="00360F04">
        <w:rPr>
          <w:sz w:val="22"/>
          <w:szCs w:val="22"/>
          <w:highlight w:val="yellow"/>
          <w:u w:val="double"/>
        </w:rPr>
        <w:t>:</w:t>
      </w:r>
    </w:p>
    <w:p w:rsidR="00DC0471" w:rsidRPr="00DC0471" w:rsidRDefault="00DC0471" w:rsidP="00CB423F">
      <w:pPr>
        <w:numPr>
          <w:ilvl w:val="0"/>
          <w:numId w:val="36"/>
        </w:numPr>
        <w:spacing w:after="120"/>
        <w:contextualSpacing/>
        <w:rPr>
          <w:sz w:val="22"/>
          <w:szCs w:val="22"/>
          <w:highlight w:val="yellow"/>
          <w:u w:val="double"/>
        </w:rPr>
      </w:pPr>
      <w:r w:rsidRPr="00DC0471">
        <w:rPr>
          <w:i/>
          <w:sz w:val="22"/>
          <w:szCs w:val="22"/>
          <w:highlight w:val="yellow"/>
          <w:u w:val="double"/>
        </w:rPr>
        <w:t>Natural Gas.</w:t>
      </w:r>
    </w:p>
    <w:p w:rsidR="00DC0471" w:rsidRPr="00DC0471" w:rsidRDefault="00DC0471" w:rsidP="00CB423F">
      <w:pPr>
        <w:numPr>
          <w:ilvl w:val="0"/>
          <w:numId w:val="37"/>
        </w:numPr>
        <w:spacing w:after="120"/>
        <w:contextualSpacing/>
        <w:rPr>
          <w:sz w:val="22"/>
          <w:szCs w:val="22"/>
          <w:highlight w:val="yellow"/>
          <w:u w:val="double"/>
        </w:rPr>
      </w:pPr>
      <w:r w:rsidRPr="00DC0471">
        <w:rPr>
          <w:sz w:val="22"/>
          <w:szCs w:val="22"/>
          <w:highlight w:val="yellow"/>
          <w:u w:val="double"/>
        </w:rPr>
        <w:t>1.6 ppmvd; and</w:t>
      </w:r>
    </w:p>
    <w:p w:rsidR="00DC0471" w:rsidRPr="00DC0471" w:rsidRDefault="00DC0471" w:rsidP="00CB423F">
      <w:pPr>
        <w:numPr>
          <w:ilvl w:val="0"/>
          <w:numId w:val="37"/>
        </w:numPr>
        <w:spacing w:after="120"/>
        <w:contextualSpacing/>
        <w:rPr>
          <w:sz w:val="22"/>
          <w:szCs w:val="22"/>
          <w:highlight w:val="yellow"/>
          <w:u w:val="double"/>
        </w:rPr>
      </w:pPr>
      <w:r w:rsidRPr="00DC0471">
        <w:rPr>
          <w:sz w:val="22"/>
          <w:szCs w:val="22"/>
          <w:highlight w:val="yellow"/>
          <w:u w:val="double"/>
        </w:rPr>
        <w:t>3 lb/hr/CT.</w:t>
      </w:r>
    </w:p>
    <w:p w:rsidR="00DC0471" w:rsidRPr="00DC0471" w:rsidRDefault="00DC0471" w:rsidP="00CB423F">
      <w:pPr>
        <w:numPr>
          <w:ilvl w:val="0"/>
          <w:numId w:val="36"/>
        </w:numPr>
        <w:spacing w:after="120"/>
        <w:contextualSpacing/>
        <w:rPr>
          <w:sz w:val="22"/>
          <w:szCs w:val="22"/>
          <w:highlight w:val="yellow"/>
          <w:u w:val="double"/>
        </w:rPr>
      </w:pPr>
      <w:r w:rsidRPr="00DC0471">
        <w:rPr>
          <w:i/>
          <w:sz w:val="22"/>
          <w:szCs w:val="22"/>
          <w:highlight w:val="yellow"/>
          <w:u w:val="double"/>
        </w:rPr>
        <w:t>Fuel Oil.</w:t>
      </w:r>
    </w:p>
    <w:p w:rsidR="00DC0471" w:rsidRPr="00DC0471" w:rsidRDefault="00DC0471" w:rsidP="00CB423F">
      <w:pPr>
        <w:numPr>
          <w:ilvl w:val="0"/>
          <w:numId w:val="38"/>
        </w:numPr>
        <w:spacing w:after="120"/>
        <w:contextualSpacing/>
        <w:rPr>
          <w:sz w:val="22"/>
          <w:szCs w:val="22"/>
          <w:highlight w:val="yellow"/>
          <w:u w:val="double"/>
        </w:rPr>
      </w:pPr>
      <w:r w:rsidRPr="00DC0471">
        <w:rPr>
          <w:sz w:val="22"/>
          <w:szCs w:val="22"/>
          <w:highlight w:val="yellow"/>
          <w:u w:val="double"/>
        </w:rPr>
        <w:t>6 ppmvd; and</w:t>
      </w:r>
    </w:p>
    <w:p w:rsidR="00DC0471" w:rsidRPr="00DC0471" w:rsidRDefault="00DC0471" w:rsidP="00CB423F">
      <w:pPr>
        <w:numPr>
          <w:ilvl w:val="0"/>
          <w:numId w:val="38"/>
        </w:numPr>
        <w:spacing w:after="120"/>
        <w:contextualSpacing/>
        <w:rPr>
          <w:sz w:val="22"/>
          <w:szCs w:val="22"/>
          <w:highlight w:val="yellow"/>
          <w:u w:val="double"/>
        </w:rPr>
      </w:pPr>
      <w:r w:rsidRPr="00DC0471">
        <w:rPr>
          <w:sz w:val="22"/>
          <w:szCs w:val="22"/>
          <w:highlight w:val="yellow"/>
          <w:u w:val="double"/>
        </w:rPr>
        <w:t>11.0 lb/hr/CT.</w:t>
      </w:r>
    </w:p>
    <w:p w:rsidR="00DC0471" w:rsidRPr="00DC0471" w:rsidRDefault="00DC0471" w:rsidP="00CB423F">
      <w:pPr>
        <w:numPr>
          <w:ilvl w:val="0"/>
          <w:numId w:val="36"/>
        </w:numPr>
        <w:spacing w:after="120"/>
        <w:contextualSpacing/>
        <w:rPr>
          <w:sz w:val="22"/>
          <w:szCs w:val="22"/>
          <w:highlight w:val="yellow"/>
          <w:u w:val="double"/>
        </w:rPr>
      </w:pPr>
      <w:r w:rsidRPr="00DC0471">
        <w:rPr>
          <w:i/>
          <w:sz w:val="22"/>
          <w:szCs w:val="22"/>
          <w:highlight w:val="yellow"/>
          <w:u w:val="double"/>
        </w:rPr>
        <w:t xml:space="preserve">Natural Gas and Fuel Oil.  </w:t>
      </w:r>
      <w:r w:rsidRPr="00DC0471">
        <w:rPr>
          <w:sz w:val="22"/>
          <w:szCs w:val="22"/>
          <w:highlight w:val="yellow"/>
          <w:u w:val="double"/>
        </w:rPr>
        <w:t>57 TPY/CT for the combined total of emissions generated through natural gas and fuel oil firing.</w:t>
      </w:r>
    </w:p>
    <w:p w:rsidR="00DC0471" w:rsidRPr="00EA1DBC" w:rsidRDefault="00DC0471" w:rsidP="00DC0471">
      <w:pPr>
        <w:spacing w:after="120"/>
        <w:ind w:left="720"/>
        <w:rPr>
          <w:sz w:val="22"/>
          <w:szCs w:val="22"/>
          <w:highlight w:val="yellow"/>
          <w:u w:val="double"/>
        </w:rPr>
      </w:pPr>
      <w:r w:rsidRPr="00EA1DBC">
        <w:rPr>
          <w:sz w:val="22"/>
          <w:szCs w:val="22"/>
          <w:highlight w:val="yellow"/>
          <w:u w:val="double"/>
        </w:rPr>
        <w:t>[Rule 62-212.400(BACT), F.A.C.; and, Permit Nos. PSD-FL-146, Specific Condition 4. &amp; 0850001-032-AC</w:t>
      </w:r>
      <w:r w:rsidR="00EA1DBC" w:rsidRPr="00EA1DBC">
        <w:rPr>
          <w:sz w:val="22"/>
          <w:szCs w:val="22"/>
          <w:highlight w:val="yellow"/>
          <w:u w:val="double"/>
        </w:rPr>
        <w:t>/PSD-FL-146H &amp; 327F</w:t>
      </w:r>
      <w:r w:rsidRPr="00EA1DBC">
        <w:rPr>
          <w:sz w:val="22"/>
          <w:szCs w:val="22"/>
          <w:highlight w:val="yellow"/>
          <w:u w:val="double"/>
        </w:rPr>
        <w:t>]</w:t>
      </w:r>
    </w:p>
    <w:p w:rsidR="00DC0471" w:rsidRPr="00360F04" w:rsidRDefault="00DC0471" w:rsidP="00CB423F">
      <w:pPr>
        <w:numPr>
          <w:ilvl w:val="0"/>
          <w:numId w:val="31"/>
        </w:numPr>
        <w:tabs>
          <w:tab w:val="num" w:pos="0"/>
          <w:tab w:val="left" w:pos="630"/>
          <w:tab w:val="left" w:pos="1080"/>
        </w:tabs>
        <w:rPr>
          <w:sz w:val="22"/>
          <w:szCs w:val="22"/>
          <w:highlight w:val="yellow"/>
          <w:u w:val="double"/>
        </w:rPr>
      </w:pPr>
      <w:r w:rsidRPr="00360F04">
        <w:rPr>
          <w:sz w:val="22"/>
          <w:szCs w:val="22"/>
          <w:highlight w:val="yellow"/>
          <w:u w:val="double"/>
        </w:rPr>
        <w:t xml:space="preserve">CO Emissions.  </w:t>
      </w:r>
      <w:r w:rsidR="00360F04" w:rsidRPr="00360F04">
        <w:rPr>
          <w:sz w:val="22"/>
          <w:szCs w:val="22"/>
          <w:highlight w:val="yellow"/>
          <w:u w:val="double"/>
        </w:rPr>
        <w:t>As determined by stack test, CO emissions shall not exceed the following, at 40⁰F, except during periods of startup and shutdown:</w:t>
      </w:r>
    </w:p>
    <w:p w:rsidR="00DC0471" w:rsidRPr="00DC0471" w:rsidRDefault="00DC0471" w:rsidP="00CB423F">
      <w:pPr>
        <w:numPr>
          <w:ilvl w:val="0"/>
          <w:numId w:val="39"/>
        </w:numPr>
        <w:spacing w:after="120"/>
        <w:contextualSpacing/>
        <w:rPr>
          <w:sz w:val="22"/>
          <w:szCs w:val="22"/>
          <w:highlight w:val="yellow"/>
          <w:u w:val="double"/>
        </w:rPr>
      </w:pPr>
      <w:r w:rsidRPr="00DC0471">
        <w:rPr>
          <w:i/>
          <w:sz w:val="22"/>
          <w:szCs w:val="22"/>
          <w:highlight w:val="yellow"/>
          <w:u w:val="double"/>
        </w:rPr>
        <w:t>Natural Gas.</w:t>
      </w:r>
    </w:p>
    <w:p w:rsidR="00DC0471" w:rsidRPr="00DC0471" w:rsidRDefault="00DC0471" w:rsidP="00CB423F">
      <w:pPr>
        <w:numPr>
          <w:ilvl w:val="0"/>
          <w:numId w:val="40"/>
        </w:numPr>
        <w:spacing w:after="120"/>
        <w:contextualSpacing/>
        <w:rPr>
          <w:sz w:val="22"/>
          <w:szCs w:val="22"/>
          <w:highlight w:val="yellow"/>
          <w:u w:val="double"/>
        </w:rPr>
      </w:pPr>
      <w:r w:rsidRPr="00DC0471">
        <w:rPr>
          <w:sz w:val="22"/>
          <w:szCs w:val="22"/>
          <w:highlight w:val="yellow"/>
          <w:u w:val="double"/>
        </w:rPr>
        <w:t>30 ppmvd; and</w:t>
      </w:r>
    </w:p>
    <w:p w:rsidR="00DC0471" w:rsidRPr="00DC0471" w:rsidRDefault="00DC0471" w:rsidP="00CB423F">
      <w:pPr>
        <w:numPr>
          <w:ilvl w:val="0"/>
          <w:numId w:val="40"/>
        </w:numPr>
        <w:spacing w:after="120"/>
        <w:contextualSpacing/>
        <w:rPr>
          <w:sz w:val="22"/>
          <w:szCs w:val="22"/>
          <w:highlight w:val="yellow"/>
          <w:u w:val="double"/>
        </w:rPr>
      </w:pPr>
      <w:r w:rsidRPr="00DC0471">
        <w:rPr>
          <w:sz w:val="22"/>
          <w:szCs w:val="22"/>
          <w:highlight w:val="yellow"/>
          <w:u w:val="double"/>
        </w:rPr>
        <w:t>94.3 lb/hr/CT.</w:t>
      </w:r>
    </w:p>
    <w:p w:rsidR="00DC0471" w:rsidRPr="00DC0471" w:rsidRDefault="00DC0471" w:rsidP="00CB423F">
      <w:pPr>
        <w:numPr>
          <w:ilvl w:val="0"/>
          <w:numId w:val="39"/>
        </w:numPr>
        <w:spacing w:after="120"/>
        <w:contextualSpacing/>
        <w:rPr>
          <w:sz w:val="22"/>
          <w:szCs w:val="22"/>
          <w:highlight w:val="yellow"/>
          <w:u w:val="double"/>
        </w:rPr>
      </w:pPr>
      <w:r w:rsidRPr="00DC0471">
        <w:rPr>
          <w:i/>
          <w:sz w:val="22"/>
          <w:szCs w:val="22"/>
          <w:highlight w:val="yellow"/>
          <w:u w:val="double"/>
        </w:rPr>
        <w:t>Fuel Oil.</w:t>
      </w:r>
    </w:p>
    <w:p w:rsidR="00DC0471" w:rsidRPr="00DC0471" w:rsidRDefault="00DC0471" w:rsidP="00CB423F">
      <w:pPr>
        <w:numPr>
          <w:ilvl w:val="0"/>
          <w:numId w:val="41"/>
        </w:numPr>
        <w:spacing w:after="120"/>
        <w:contextualSpacing/>
        <w:rPr>
          <w:sz w:val="22"/>
          <w:szCs w:val="22"/>
          <w:highlight w:val="yellow"/>
          <w:u w:val="double"/>
        </w:rPr>
      </w:pPr>
      <w:r w:rsidRPr="00DC0471">
        <w:rPr>
          <w:sz w:val="22"/>
          <w:szCs w:val="22"/>
          <w:highlight w:val="yellow"/>
          <w:u w:val="double"/>
        </w:rPr>
        <w:t>33 ppmvd; and</w:t>
      </w:r>
    </w:p>
    <w:p w:rsidR="00DC0471" w:rsidRPr="00DC0471" w:rsidRDefault="00DC0471" w:rsidP="00CB423F">
      <w:pPr>
        <w:numPr>
          <w:ilvl w:val="0"/>
          <w:numId w:val="41"/>
        </w:numPr>
        <w:spacing w:after="120"/>
        <w:contextualSpacing/>
        <w:rPr>
          <w:sz w:val="22"/>
          <w:szCs w:val="22"/>
          <w:highlight w:val="yellow"/>
          <w:u w:val="double"/>
        </w:rPr>
      </w:pPr>
      <w:r w:rsidRPr="00DC0471">
        <w:rPr>
          <w:sz w:val="22"/>
          <w:szCs w:val="22"/>
          <w:highlight w:val="yellow"/>
          <w:u w:val="double"/>
        </w:rPr>
        <w:t>105.8 lb/hr/CT</w:t>
      </w:r>
    </w:p>
    <w:p w:rsidR="00DC0471" w:rsidRPr="00DC0471" w:rsidRDefault="00DC0471" w:rsidP="00CB423F">
      <w:pPr>
        <w:numPr>
          <w:ilvl w:val="0"/>
          <w:numId w:val="39"/>
        </w:numPr>
        <w:spacing w:after="120"/>
        <w:contextualSpacing/>
        <w:rPr>
          <w:sz w:val="22"/>
          <w:szCs w:val="22"/>
          <w:highlight w:val="yellow"/>
          <w:u w:val="double"/>
        </w:rPr>
      </w:pPr>
      <w:r w:rsidRPr="00DC0471">
        <w:rPr>
          <w:i/>
          <w:sz w:val="22"/>
          <w:szCs w:val="22"/>
          <w:highlight w:val="yellow"/>
          <w:u w:val="double"/>
        </w:rPr>
        <w:t>Natural Gas and Fuel Oil.</w:t>
      </w:r>
      <w:r w:rsidRPr="00DC0471">
        <w:rPr>
          <w:sz w:val="22"/>
          <w:szCs w:val="22"/>
          <w:highlight w:val="yellow"/>
          <w:u w:val="double"/>
        </w:rPr>
        <w:t xml:space="preserve">  871 TPY/CT for the combined total of emissions generated through natural gas and fuel oil firing.</w:t>
      </w:r>
    </w:p>
    <w:p w:rsidR="00DC0471" w:rsidRPr="00DC0471" w:rsidRDefault="00DC0471" w:rsidP="00DC0471">
      <w:pPr>
        <w:spacing w:after="120"/>
        <w:ind w:left="720"/>
        <w:rPr>
          <w:sz w:val="22"/>
          <w:szCs w:val="22"/>
          <w:highlight w:val="yellow"/>
          <w:u w:val="double"/>
        </w:rPr>
      </w:pPr>
      <w:r w:rsidRPr="00DC0471">
        <w:rPr>
          <w:sz w:val="22"/>
          <w:szCs w:val="22"/>
          <w:highlight w:val="yellow"/>
          <w:u w:val="double"/>
        </w:rPr>
        <w:t>[Rule 62-212.400(BACT), F.A.C.; and, Permit Nos. PSD-FL-146, Specific Condition 4. &amp; 0850001-032-AC</w:t>
      </w:r>
      <w:r w:rsidR="00EA1DBC" w:rsidRPr="00EA1DBC">
        <w:rPr>
          <w:sz w:val="22"/>
          <w:szCs w:val="22"/>
          <w:highlight w:val="yellow"/>
          <w:u w:val="double"/>
        </w:rPr>
        <w:t>/PSD-FL-146H &amp; 327F</w:t>
      </w:r>
      <w:r w:rsidRPr="00DC0471">
        <w:rPr>
          <w:sz w:val="22"/>
          <w:szCs w:val="22"/>
          <w:highlight w:val="yellow"/>
          <w:u w:val="double"/>
        </w:rPr>
        <w:t>]</w:t>
      </w:r>
    </w:p>
    <w:p w:rsidR="00DC0471" w:rsidRPr="00360F04" w:rsidRDefault="00DC0471" w:rsidP="00CB423F">
      <w:pPr>
        <w:numPr>
          <w:ilvl w:val="0"/>
          <w:numId w:val="31"/>
        </w:numPr>
        <w:tabs>
          <w:tab w:val="num" w:pos="0"/>
          <w:tab w:val="left" w:pos="630"/>
          <w:tab w:val="left" w:pos="1080"/>
        </w:tabs>
        <w:rPr>
          <w:sz w:val="22"/>
          <w:szCs w:val="22"/>
          <w:highlight w:val="yellow"/>
          <w:u w:val="double"/>
        </w:rPr>
      </w:pPr>
      <w:r w:rsidRPr="00360F04">
        <w:rPr>
          <w:sz w:val="22"/>
          <w:szCs w:val="22"/>
          <w:highlight w:val="yellow"/>
          <w:u w:val="double"/>
        </w:rPr>
        <w:t>PM/PM</w:t>
      </w:r>
      <w:r w:rsidRPr="00360F04">
        <w:rPr>
          <w:sz w:val="22"/>
          <w:szCs w:val="22"/>
          <w:highlight w:val="yellow"/>
          <w:u w:val="double"/>
          <w:vertAlign w:val="subscript"/>
        </w:rPr>
        <w:t>10</w:t>
      </w:r>
      <w:r w:rsidRPr="00360F04">
        <w:rPr>
          <w:sz w:val="22"/>
          <w:szCs w:val="22"/>
          <w:highlight w:val="yellow"/>
          <w:u w:val="double"/>
        </w:rPr>
        <w:t xml:space="preserve"> Emissions.  </w:t>
      </w:r>
      <w:r w:rsidR="00360F04" w:rsidRPr="00360F04">
        <w:rPr>
          <w:sz w:val="22"/>
          <w:szCs w:val="22"/>
          <w:highlight w:val="yellow"/>
          <w:u w:val="double"/>
        </w:rPr>
        <w:t>As determined by stack test (for fuel oil firing only), PM/PM</w:t>
      </w:r>
      <w:r w:rsidR="00360F04" w:rsidRPr="00360F04">
        <w:rPr>
          <w:sz w:val="22"/>
          <w:szCs w:val="22"/>
          <w:highlight w:val="yellow"/>
          <w:u w:val="double"/>
          <w:vertAlign w:val="subscript"/>
        </w:rPr>
        <w:t>10</w:t>
      </w:r>
      <w:r w:rsidR="00360F04" w:rsidRPr="00360F04">
        <w:rPr>
          <w:sz w:val="22"/>
          <w:szCs w:val="22"/>
          <w:highlight w:val="yellow"/>
          <w:u w:val="double"/>
        </w:rPr>
        <w:t xml:space="preserve"> emissions shall not exceed the following, at 40⁰F, except during periods of startup and shutdown:</w:t>
      </w:r>
    </w:p>
    <w:p w:rsidR="00DC0471" w:rsidRPr="00DC0471" w:rsidRDefault="00DC0471" w:rsidP="00CB423F">
      <w:pPr>
        <w:numPr>
          <w:ilvl w:val="0"/>
          <w:numId w:val="42"/>
        </w:numPr>
        <w:spacing w:after="120"/>
        <w:contextualSpacing/>
        <w:rPr>
          <w:sz w:val="22"/>
          <w:szCs w:val="22"/>
          <w:highlight w:val="yellow"/>
          <w:u w:val="double"/>
        </w:rPr>
      </w:pPr>
      <w:r w:rsidRPr="00DC0471">
        <w:rPr>
          <w:i/>
          <w:sz w:val="22"/>
          <w:szCs w:val="22"/>
          <w:highlight w:val="yellow"/>
          <w:u w:val="double"/>
        </w:rPr>
        <w:t>Natural Gas</w:t>
      </w:r>
      <w:r w:rsidRPr="00DC0471">
        <w:rPr>
          <w:sz w:val="22"/>
          <w:szCs w:val="22"/>
          <w:highlight w:val="yellow"/>
          <w:u w:val="double"/>
        </w:rPr>
        <w:t>.  18 lb/hr/CT;</w:t>
      </w:r>
    </w:p>
    <w:p w:rsidR="00DC0471" w:rsidRPr="00DC0471" w:rsidRDefault="00DC0471" w:rsidP="00CB423F">
      <w:pPr>
        <w:numPr>
          <w:ilvl w:val="0"/>
          <w:numId w:val="42"/>
        </w:numPr>
        <w:spacing w:after="120"/>
        <w:contextualSpacing/>
        <w:rPr>
          <w:sz w:val="22"/>
          <w:szCs w:val="22"/>
          <w:highlight w:val="yellow"/>
          <w:u w:val="double"/>
        </w:rPr>
      </w:pPr>
      <w:r w:rsidRPr="00DC0471">
        <w:rPr>
          <w:i/>
          <w:sz w:val="22"/>
          <w:szCs w:val="22"/>
          <w:highlight w:val="yellow"/>
          <w:u w:val="double"/>
        </w:rPr>
        <w:t>Fuel Oil</w:t>
      </w:r>
      <w:r w:rsidRPr="00DC0471">
        <w:rPr>
          <w:sz w:val="22"/>
          <w:szCs w:val="22"/>
          <w:highlight w:val="yellow"/>
          <w:u w:val="double"/>
        </w:rPr>
        <w:t>.  60.6 lb/hr/CT; and</w:t>
      </w:r>
    </w:p>
    <w:p w:rsidR="00DC0471" w:rsidRPr="00DC0471" w:rsidRDefault="00DC0471" w:rsidP="00CB423F">
      <w:pPr>
        <w:numPr>
          <w:ilvl w:val="0"/>
          <w:numId w:val="42"/>
        </w:numPr>
        <w:spacing w:after="120"/>
        <w:contextualSpacing/>
        <w:rPr>
          <w:sz w:val="22"/>
          <w:szCs w:val="22"/>
          <w:highlight w:val="yellow"/>
          <w:u w:val="double"/>
        </w:rPr>
      </w:pPr>
      <w:r w:rsidRPr="00DC0471">
        <w:rPr>
          <w:i/>
          <w:sz w:val="22"/>
          <w:szCs w:val="22"/>
          <w:highlight w:val="yellow"/>
          <w:u w:val="double"/>
        </w:rPr>
        <w:t>Natural Gas and Fuel Oil.</w:t>
      </w:r>
      <w:r w:rsidRPr="00DC0471">
        <w:rPr>
          <w:sz w:val="22"/>
          <w:szCs w:val="22"/>
          <w:highlight w:val="yellow"/>
          <w:u w:val="double"/>
        </w:rPr>
        <w:t xml:space="preserve">  100 TPY/CT for the combined total of emissions generated through natural gas and fuel oil firing.</w:t>
      </w:r>
    </w:p>
    <w:p w:rsidR="00DC0471" w:rsidRPr="00DC0471" w:rsidRDefault="00DC0471" w:rsidP="00DC0471">
      <w:pPr>
        <w:spacing w:after="120"/>
        <w:ind w:left="720"/>
        <w:rPr>
          <w:sz w:val="22"/>
          <w:szCs w:val="22"/>
          <w:highlight w:val="yellow"/>
          <w:u w:val="double"/>
        </w:rPr>
      </w:pPr>
      <w:r w:rsidRPr="00DC0471">
        <w:rPr>
          <w:sz w:val="22"/>
          <w:szCs w:val="22"/>
          <w:highlight w:val="yellow"/>
          <w:u w:val="double"/>
        </w:rPr>
        <w:t>[Rule 62-212.400(BACT), F.A.C.; and, Permit Nos. PSD-FL-146, Specific Condition 4. &amp; 0850001-032-AC</w:t>
      </w:r>
      <w:r w:rsidR="00EA1DBC" w:rsidRPr="00EA1DBC">
        <w:rPr>
          <w:sz w:val="22"/>
          <w:szCs w:val="22"/>
          <w:highlight w:val="yellow"/>
          <w:u w:val="double"/>
        </w:rPr>
        <w:t>/PSD-FL-146H &amp; 327F</w:t>
      </w:r>
      <w:r w:rsidRPr="00DC0471">
        <w:rPr>
          <w:sz w:val="22"/>
          <w:szCs w:val="22"/>
          <w:highlight w:val="yellow"/>
          <w:u w:val="double"/>
        </w:rPr>
        <w:t>]</w:t>
      </w:r>
    </w:p>
    <w:p w:rsidR="00DC0471" w:rsidRPr="00360F04" w:rsidRDefault="00DC0471" w:rsidP="00CB423F">
      <w:pPr>
        <w:numPr>
          <w:ilvl w:val="0"/>
          <w:numId w:val="31"/>
        </w:numPr>
        <w:tabs>
          <w:tab w:val="num" w:pos="0"/>
          <w:tab w:val="left" w:pos="630"/>
          <w:tab w:val="left" w:pos="1080"/>
        </w:tabs>
        <w:rPr>
          <w:sz w:val="22"/>
          <w:szCs w:val="22"/>
          <w:highlight w:val="yellow"/>
          <w:u w:val="double"/>
        </w:rPr>
      </w:pPr>
      <w:r w:rsidRPr="00360F04">
        <w:rPr>
          <w:sz w:val="22"/>
          <w:szCs w:val="22"/>
          <w:highlight w:val="yellow"/>
          <w:u w:val="double"/>
        </w:rPr>
        <w:t>Lead (Pb) Emissions</w:t>
      </w:r>
      <w:r w:rsidR="00360F04" w:rsidRPr="00360F04">
        <w:rPr>
          <w:sz w:val="22"/>
          <w:szCs w:val="22"/>
          <w:highlight w:val="yellow"/>
          <w:u w:val="double"/>
        </w:rPr>
        <w:t xml:space="preserve"> As determined by initial stack test (for fuel oil firing only), Pb emissions shall not exceed the following, at 40⁰F, except during periods of startup and shutdown:</w:t>
      </w:r>
    </w:p>
    <w:p w:rsidR="00DC0471" w:rsidRPr="00DC0471" w:rsidRDefault="00DC0471" w:rsidP="00CB423F">
      <w:pPr>
        <w:numPr>
          <w:ilvl w:val="0"/>
          <w:numId w:val="43"/>
        </w:numPr>
        <w:spacing w:after="120"/>
        <w:contextualSpacing/>
        <w:rPr>
          <w:sz w:val="22"/>
          <w:szCs w:val="22"/>
          <w:highlight w:val="yellow"/>
          <w:u w:val="double"/>
        </w:rPr>
      </w:pPr>
      <w:r w:rsidRPr="00DC0471">
        <w:rPr>
          <w:i/>
          <w:sz w:val="22"/>
          <w:szCs w:val="22"/>
          <w:highlight w:val="yellow"/>
          <w:u w:val="double"/>
        </w:rPr>
        <w:t>Fuel Oil.</w:t>
      </w:r>
      <w:r w:rsidRPr="00DC0471">
        <w:rPr>
          <w:sz w:val="22"/>
          <w:szCs w:val="22"/>
          <w:highlight w:val="yellow"/>
          <w:u w:val="double"/>
        </w:rPr>
        <w:t xml:space="preserve">  0.015 lb/hr/CT; and</w:t>
      </w:r>
    </w:p>
    <w:p w:rsidR="00DC0471" w:rsidRPr="00DC0471" w:rsidRDefault="00DC0471" w:rsidP="00CB423F">
      <w:pPr>
        <w:numPr>
          <w:ilvl w:val="0"/>
          <w:numId w:val="43"/>
        </w:numPr>
        <w:rPr>
          <w:sz w:val="22"/>
          <w:szCs w:val="22"/>
          <w:highlight w:val="yellow"/>
          <w:u w:val="double"/>
        </w:rPr>
      </w:pPr>
      <w:r w:rsidRPr="00DC0471">
        <w:rPr>
          <w:i/>
          <w:sz w:val="22"/>
          <w:szCs w:val="22"/>
          <w:highlight w:val="yellow"/>
          <w:u w:val="double"/>
        </w:rPr>
        <w:t>Natural Gas and Fuel Oil.</w:t>
      </w:r>
      <w:r w:rsidRPr="00DC0471">
        <w:rPr>
          <w:sz w:val="22"/>
          <w:szCs w:val="22"/>
          <w:highlight w:val="yellow"/>
          <w:u w:val="double"/>
        </w:rPr>
        <w:t xml:space="preserve">  0.015 TPY/CT for the combined total of emissions generated through natural gas and fuel oil firing.</w:t>
      </w:r>
    </w:p>
    <w:p w:rsidR="00DC0471" w:rsidRPr="00DC0471" w:rsidRDefault="00DC0471" w:rsidP="00DC0471">
      <w:pPr>
        <w:spacing w:after="120"/>
        <w:ind w:left="720"/>
        <w:rPr>
          <w:sz w:val="22"/>
          <w:szCs w:val="22"/>
          <w:highlight w:val="yellow"/>
          <w:u w:val="double"/>
        </w:rPr>
      </w:pPr>
      <w:r w:rsidRPr="00DC0471">
        <w:rPr>
          <w:sz w:val="22"/>
          <w:szCs w:val="22"/>
          <w:highlight w:val="yellow"/>
          <w:u w:val="double"/>
        </w:rPr>
        <w:t>[Rule 62-212.400(BACT), F.A.C.; and, Permit Nos. PSD-FL-146, Specific Condition 4. &amp; 0850001-032-AC</w:t>
      </w:r>
      <w:r w:rsidR="00EA1DBC" w:rsidRPr="00EA1DBC">
        <w:rPr>
          <w:sz w:val="22"/>
          <w:szCs w:val="22"/>
          <w:highlight w:val="yellow"/>
          <w:u w:val="double"/>
        </w:rPr>
        <w:t>/PSD-FL-146H &amp; 327F</w:t>
      </w:r>
      <w:r w:rsidRPr="00DC0471">
        <w:rPr>
          <w:sz w:val="22"/>
          <w:szCs w:val="22"/>
          <w:highlight w:val="yellow"/>
          <w:u w:val="double"/>
        </w:rPr>
        <w:t>]</w:t>
      </w:r>
    </w:p>
    <w:p w:rsidR="00DC0471" w:rsidRPr="00DC0471" w:rsidRDefault="00DC0471" w:rsidP="00CB423F">
      <w:pPr>
        <w:numPr>
          <w:ilvl w:val="0"/>
          <w:numId w:val="31"/>
        </w:numPr>
        <w:tabs>
          <w:tab w:val="num" w:pos="0"/>
          <w:tab w:val="left" w:pos="630"/>
          <w:tab w:val="left" w:pos="1080"/>
        </w:tabs>
        <w:rPr>
          <w:sz w:val="22"/>
          <w:szCs w:val="22"/>
          <w:highlight w:val="yellow"/>
          <w:u w:val="double"/>
        </w:rPr>
      </w:pPr>
      <w:bookmarkStart w:id="24" w:name="_Ref520201349"/>
      <w:r w:rsidRPr="00DC0471">
        <w:rPr>
          <w:sz w:val="22"/>
          <w:szCs w:val="22"/>
          <w:highlight w:val="yellow"/>
          <w:u w:val="double"/>
        </w:rPr>
        <w:t>SO</w:t>
      </w:r>
      <w:r w:rsidRPr="00DC0471">
        <w:rPr>
          <w:sz w:val="22"/>
          <w:szCs w:val="22"/>
          <w:highlight w:val="yellow"/>
          <w:u w:val="double"/>
          <w:vertAlign w:val="subscript"/>
        </w:rPr>
        <w:t>2</w:t>
      </w:r>
      <w:r w:rsidRPr="00DC0471">
        <w:rPr>
          <w:sz w:val="22"/>
          <w:szCs w:val="22"/>
          <w:highlight w:val="yellow"/>
          <w:u w:val="double"/>
        </w:rPr>
        <w:t xml:space="preserve"> Emissions.</w:t>
      </w:r>
      <w:bookmarkEnd w:id="24"/>
      <w:r w:rsidRPr="00DC0471">
        <w:rPr>
          <w:sz w:val="22"/>
          <w:szCs w:val="22"/>
          <w:highlight w:val="yellow"/>
          <w:u w:val="double"/>
        </w:rPr>
        <w:t xml:space="preserve">  </w:t>
      </w:r>
    </w:p>
    <w:p w:rsidR="00DC0471" w:rsidRPr="00360F04" w:rsidRDefault="00DC0471" w:rsidP="00CB423F">
      <w:pPr>
        <w:numPr>
          <w:ilvl w:val="0"/>
          <w:numId w:val="44"/>
        </w:numPr>
        <w:spacing w:after="120"/>
        <w:contextualSpacing/>
        <w:rPr>
          <w:sz w:val="22"/>
          <w:szCs w:val="22"/>
          <w:highlight w:val="yellow"/>
          <w:u w:val="double"/>
        </w:rPr>
      </w:pPr>
      <w:r w:rsidRPr="00360F04">
        <w:rPr>
          <w:i/>
          <w:sz w:val="22"/>
          <w:szCs w:val="22"/>
          <w:highlight w:val="yellow"/>
          <w:u w:val="double"/>
        </w:rPr>
        <w:t>BACT SO</w:t>
      </w:r>
      <w:r w:rsidRPr="00360F04">
        <w:rPr>
          <w:i/>
          <w:sz w:val="22"/>
          <w:szCs w:val="22"/>
          <w:highlight w:val="yellow"/>
          <w:u w:val="double"/>
          <w:vertAlign w:val="subscript"/>
        </w:rPr>
        <w:t>2</w:t>
      </w:r>
      <w:r w:rsidRPr="00360F04">
        <w:rPr>
          <w:i/>
          <w:sz w:val="22"/>
          <w:szCs w:val="22"/>
          <w:highlight w:val="yellow"/>
          <w:u w:val="double"/>
        </w:rPr>
        <w:t xml:space="preserve"> Limits.</w:t>
      </w:r>
      <w:r w:rsidRPr="00360F04">
        <w:rPr>
          <w:sz w:val="22"/>
          <w:szCs w:val="22"/>
          <w:highlight w:val="yellow"/>
          <w:u w:val="double"/>
        </w:rPr>
        <w:t xml:space="preserve">  </w:t>
      </w:r>
      <w:r w:rsidR="00360F04" w:rsidRPr="00360F04">
        <w:rPr>
          <w:sz w:val="22"/>
          <w:szCs w:val="22"/>
          <w:highlight w:val="yellow"/>
          <w:u w:val="double"/>
        </w:rPr>
        <w:t>As determined by fuel specifications, SO</w:t>
      </w:r>
      <w:r w:rsidR="00360F04" w:rsidRPr="00360F04">
        <w:rPr>
          <w:sz w:val="22"/>
          <w:szCs w:val="22"/>
          <w:highlight w:val="yellow"/>
          <w:u w:val="double"/>
          <w:vertAlign w:val="subscript"/>
        </w:rPr>
        <w:t>2</w:t>
      </w:r>
      <w:r w:rsidR="00360F04" w:rsidRPr="00360F04">
        <w:rPr>
          <w:sz w:val="22"/>
          <w:szCs w:val="22"/>
          <w:highlight w:val="yellow"/>
          <w:u w:val="double"/>
        </w:rPr>
        <w:t xml:space="preserve"> emissions shall not exceed the following, at 40⁰F, except during periods of startup and shutdown:</w:t>
      </w:r>
    </w:p>
    <w:p w:rsidR="00DC0471" w:rsidRPr="00DC0471" w:rsidRDefault="00DC0471" w:rsidP="00CB423F">
      <w:pPr>
        <w:numPr>
          <w:ilvl w:val="0"/>
          <w:numId w:val="45"/>
        </w:numPr>
        <w:spacing w:after="120"/>
        <w:contextualSpacing/>
        <w:rPr>
          <w:sz w:val="22"/>
          <w:szCs w:val="22"/>
          <w:highlight w:val="yellow"/>
          <w:u w:val="double"/>
        </w:rPr>
      </w:pPr>
      <w:r w:rsidRPr="00DC0471">
        <w:rPr>
          <w:i/>
          <w:sz w:val="22"/>
          <w:szCs w:val="22"/>
          <w:highlight w:val="yellow"/>
          <w:u w:val="double"/>
        </w:rPr>
        <w:t>Natural Gas.</w:t>
      </w:r>
      <w:r w:rsidRPr="00DC0471">
        <w:rPr>
          <w:sz w:val="22"/>
          <w:szCs w:val="22"/>
          <w:highlight w:val="yellow"/>
          <w:u w:val="double"/>
        </w:rPr>
        <w:t xml:space="preserve">  91.5 lb/hr/CT; </w:t>
      </w:r>
    </w:p>
    <w:p w:rsidR="00DC0471" w:rsidRPr="00DC0471" w:rsidRDefault="00DC0471" w:rsidP="00CB423F">
      <w:pPr>
        <w:numPr>
          <w:ilvl w:val="0"/>
          <w:numId w:val="45"/>
        </w:numPr>
        <w:spacing w:after="120"/>
        <w:contextualSpacing/>
        <w:rPr>
          <w:sz w:val="22"/>
          <w:szCs w:val="22"/>
          <w:highlight w:val="yellow"/>
          <w:u w:val="double"/>
        </w:rPr>
      </w:pPr>
      <w:r w:rsidRPr="00DC0471">
        <w:rPr>
          <w:i/>
          <w:sz w:val="22"/>
          <w:szCs w:val="22"/>
          <w:highlight w:val="yellow"/>
          <w:u w:val="double"/>
        </w:rPr>
        <w:t xml:space="preserve">Fuel Oil.  </w:t>
      </w:r>
      <w:r w:rsidRPr="00DC0471">
        <w:rPr>
          <w:sz w:val="22"/>
          <w:szCs w:val="22"/>
          <w:highlight w:val="yellow"/>
          <w:u w:val="double"/>
        </w:rPr>
        <w:t>920 lb/hr/CT; and</w:t>
      </w:r>
    </w:p>
    <w:p w:rsidR="00DC0471" w:rsidRPr="00DC0471" w:rsidRDefault="00DC0471" w:rsidP="00CB423F">
      <w:pPr>
        <w:numPr>
          <w:ilvl w:val="0"/>
          <w:numId w:val="45"/>
        </w:numPr>
        <w:spacing w:after="120"/>
        <w:contextualSpacing/>
        <w:rPr>
          <w:sz w:val="22"/>
          <w:szCs w:val="22"/>
          <w:highlight w:val="yellow"/>
          <w:u w:val="double"/>
        </w:rPr>
      </w:pPr>
      <w:r w:rsidRPr="00DC0471">
        <w:rPr>
          <w:i/>
          <w:sz w:val="22"/>
          <w:szCs w:val="22"/>
          <w:highlight w:val="yellow"/>
          <w:u w:val="double"/>
        </w:rPr>
        <w:t xml:space="preserve">Natural Gas and Fuel Oil.  </w:t>
      </w:r>
      <w:r w:rsidRPr="00DC0471">
        <w:rPr>
          <w:sz w:val="22"/>
          <w:szCs w:val="22"/>
          <w:highlight w:val="yellow"/>
          <w:u w:val="double"/>
        </w:rPr>
        <w:t>568 TPY/CT for the combined total of emissions generated through natural gas and fuel oil firing.</w:t>
      </w:r>
    </w:p>
    <w:p w:rsidR="00DC0471" w:rsidRPr="00DC0471" w:rsidRDefault="00DC0471" w:rsidP="00DC0471">
      <w:pPr>
        <w:spacing w:after="120"/>
        <w:ind w:left="1080"/>
        <w:contextualSpacing/>
        <w:rPr>
          <w:sz w:val="22"/>
          <w:szCs w:val="22"/>
          <w:highlight w:val="yellow"/>
          <w:u w:val="double"/>
        </w:rPr>
      </w:pPr>
      <w:r w:rsidRPr="00DC0471">
        <w:rPr>
          <w:sz w:val="22"/>
          <w:szCs w:val="22"/>
          <w:highlight w:val="yellow"/>
          <w:u w:val="double"/>
        </w:rPr>
        <w:t>SO</w:t>
      </w:r>
      <w:r w:rsidRPr="00DC0471">
        <w:rPr>
          <w:sz w:val="22"/>
          <w:szCs w:val="22"/>
          <w:highlight w:val="yellow"/>
          <w:u w:val="double"/>
          <w:vertAlign w:val="subscript"/>
        </w:rPr>
        <w:t>2</w:t>
      </w:r>
      <w:r w:rsidRPr="00DC0471">
        <w:rPr>
          <w:sz w:val="22"/>
          <w:szCs w:val="22"/>
          <w:highlight w:val="yellow"/>
          <w:u w:val="double"/>
        </w:rPr>
        <w:t xml:space="preserve"> emissions are based on a maximum 0.5% sulfur content, by weight, in oil for hourly emissions and an average sulfur content of 0.3%, by weight, for annual emissions.  </w:t>
      </w:r>
    </w:p>
    <w:p w:rsidR="00360F04" w:rsidRPr="00360F04" w:rsidRDefault="00360F04" w:rsidP="00CB423F">
      <w:pPr>
        <w:numPr>
          <w:ilvl w:val="0"/>
          <w:numId w:val="44"/>
        </w:numPr>
        <w:spacing w:after="120"/>
        <w:contextualSpacing/>
        <w:rPr>
          <w:sz w:val="22"/>
          <w:szCs w:val="22"/>
          <w:highlight w:val="yellow"/>
          <w:u w:val="double"/>
        </w:rPr>
      </w:pPr>
      <w:r w:rsidRPr="00360F04">
        <w:rPr>
          <w:i/>
          <w:sz w:val="22"/>
          <w:szCs w:val="22"/>
          <w:highlight w:val="yellow"/>
          <w:u w:val="double"/>
        </w:rPr>
        <w:t>BACT Fuel Sulfur Content Limit.</w:t>
      </w:r>
      <w:r w:rsidRPr="00360F04">
        <w:rPr>
          <w:sz w:val="22"/>
          <w:szCs w:val="22"/>
          <w:highlight w:val="yellow"/>
          <w:u w:val="double"/>
        </w:rPr>
        <w:t xml:space="preserve">  The average annual sulfur content of the light distillate oil shall not exceed 0.3%, by weight, during any consecutive 12-month period.  The maximum sulfur content of the light distillate oil shall not exceed 0.5% by weight.</w:t>
      </w:r>
    </w:p>
    <w:p w:rsidR="00DC0471" w:rsidRPr="00DC0471" w:rsidRDefault="00DC0471" w:rsidP="00CB423F">
      <w:pPr>
        <w:numPr>
          <w:ilvl w:val="0"/>
          <w:numId w:val="44"/>
        </w:numPr>
        <w:spacing w:after="120"/>
        <w:contextualSpacing/>
        <w:rPr>
          <w:sz w:val="22"/>
          <w:szCs w:val="22"/>
          <w:highlight w:val="yellow"/>
          <w:u w:val="double"/>
        </w:rPr>
      </w:pPr>
      <w:r w:rsidRPr="00DC0471">
        <w:rPr>
          <w:i/>
          <w:sz w:val="22"/>
          <w:szCs w:val="22"/>
          <w:highlight w:val="yellow"/>
          <w:u w:val="double"/>
        </w:rPr>
        <w:t>NSPS SO</w:t>
      </w:r>
      <w:r w:rsidRPr="00DC0471">
        <w:rPr>
          <w:i/>
          <w:sz w:val="22"/>
          <w:szCs w:val="22"/>
          <w:highlight w:val="yellow"/>
          <w:u w:val="double"/>
          <w:vertAlign w:val="subscript"/>
        </w:rPr>
        <w:t>2</w:t>
      </w:r>
      <w:r w:rsidRPr="00DC0471">
        <w:rPr>
          <w:i/>
          <w:sz w:val="22"/>
          <w:szCs w:val="22"/>
          <w:highlight w:val="yellow"/>
          <w:u w:val="double"/>
        </w:rPr>
        <w:t xml:space="preserve"> Limits</w:t>
      </w:r>
      <w:r w:rsidRPr="00DC0471">
        <w:rPr>
          <w:sz w:val="22"/>
          <w:szCs w:val="22"/>
          <w:highlight w:val="yellow"/>
          <w:u w:val="double"/>
        </w:rPr>
        <w:t>.  The permittee shall comply with either of the following conditions:</w:t>
      </w:r>
    </w:p>
    <w:p w:rsidR="00DC0471" w:rsidRPr="00DC0471" w:rsidRDefault="00DC0471" w:rsidP="00CB423F">
      <w:pPr>
        <w:numPr>
          <w:ilvl w:val="0"/>
          <w:numId w:val="46"/>
        </w:numPr>
        <w:spacing w:after="120"/>
        <w:contextualSpacing/>
        <w:rPr>
          <w:sz w:val="22"/>
          <w:szCs w:val="22"/>
          <w:highlight w:val="yellow"/>
          <w:u w:val="double"/>
        </w:rPr>
      </w:pPr>
      <w:r w:rsidRPr="00DC0471">
        <w:rPr>
          <w:sz w:val="22"/>
          <w:szCs w:val="22"/>
          <w:highlight w:val="yellow"/>
          <w:u w:val="double"/>
        </w:rPr>
        <w:t>No permittee shall cause to be discharged into the atmosphere from any stationary gas turbine any gases which contain SO</w:t>
      </w:r>
      <w:r w:rsidRPr="00DC0471">
        <w:rPr>
          <w:sz w:val="22"/>
          <w:szCs w:val="22"/>
          <w:highlight w:val="yellow"/>
          <w:u w:val="double"/>
          <w:vertAlign w:val="subscript"/>
        </w:rPr>
        <w:t>2</w:t>
      </w:r>
      <w:r w:rsidRPr="00DC0471">
        <w:rPr>
          <w:sz w:val="22"/>
          <w:szCs w:val="22"/>
          <w:highlight w:val="yellow"/>
          <w:u w:val="double"/>
        </w:rPr>
        <w:t xml:space="preserve"> in excess of 0.015% by volume at 15% O</w:t>
      </w:r>
      <w:r w:rsidRPr="00DC0471">
        <w:rPr>
          <w:sz w:val="22"/>
          <w:szCs w:val="22"/>
          <w:highlight w:val="yellow"/>
          <w:u w:val="double"/>
          <w:vertAlign w:val="subscript"/>
        </w:rPr>
        <w:t>2</w:t>
      </w:r>
      <w:r w:rsidRPr="00DC0471">
        <w:rPr>
          <w:sz w:val="22"/>
          <w:szCs w:val="22"/>
          <w:highlight w:val="yellow"/>
          <w:u w:val="double"/>
        </w:rPr>
        <w:t xml:space="preserve"> and on a dry basis.</w:t>
      </w:r>
    </w:p>
    <w:p w:rsidR="00DC0471" w:rsidRPr="00DC0471" w:rsidRDefault="00DC0471" w:rsidP="00CB423F">
      <w:pPr>
        <w:numPr>
          <w:ilvl w:val="0"/>
          <w:numId w:val="46"/>
        </w:numPr>
        <w:spacing w:after="120"/>
        <w:contextualSpacing/>
        <w:rPr>
          <w:sz w:val="22"/>
          <w:szCs w:val="22"/>
          <w:highlight w:val="yellow"/>
          <w:u w:val="double"/>
        </w:rPr>
      </w:pPr>
      <w:r w:rsidRPr="00DC0471">
        <w:rPr>
          <w:sz w:val="22"/>
          <w:szCs w:val="22"/>
          <w:highlight w:val="yellow"/>
          <w:u w:val="double"/>
        </w:rPr>
        <w:t>No owner or operator subject to the provisions of this subpart shall burn in any stationary gas turbine any fuel which contains total sulfur in excess of 0.8 percent by weight (8000 ppmw).</w:t>
      </w:r>
    </w:p>
    <w:p w:rsidR="00DC0471" w:rsidRPr="00360F04" w:rsidRDefault="00360F04" w:rsidP="00DC0471">
      <w:pPr>
        <w:spacing w:after="120"/>
        <w:ind w:left="720"/>
        <w:rPr>
          <w:sz w:val="22"/>
          <w:szCs w:val="22"/>
          <w:highlight w:val="yellow"/>
          <w:u w:val="double"/>
        </w:rPr>
      </w:pPr>
      <w:r w:rsidRPr="00360F04">
        <w:rPr>
          <w:sz w:val="22"/>
          <w:szCs w:val="22"/>
          <w:highlight w:val="yellow"/>
          <w:u w:val="double"/>
        </w:rPr>
        <w:t>[Rule 62-212.400(BACT), F.A.C.; 40 CFR 60.333; and, Permit Nos. PSD-FL-146, Specific Conditions 4 &amp; 11 &amp; 0850001-032-AC/PSD-FL-146H &amp; 327F]</w:t>
      </w:r>
    </w:p>
    <w:p w:rsidR="00E74308" w:rsidRDefault="00DC0471" w:rsidP="00CB423F">
      <w:pPr>
        <w:pStyle w:val="ListParagraph"/>
        <w:numPr>
          <w:ilvl w:val="0"/>
          <w:numId w:val="1"/>
        </w:numPr>
        <w:tabs>
          <w:tab w:val="left" w:pos="360"/>
        </w:tabs>
        <w:spacing w:after="120"/>
        <w:contextualSpacing w:val="0"/>
        <w:rPr>
          <w:sz w:val="22"/>
          <w:szCs w:val="22"/>
        </w:rPr>
      </w:pPr>
      <w:r>
        <w:rPr>
          <w:sz w:val="22"/>
          <w:szCs w:val="22"/>
        </w:rPr>
        <w:t>Unless otherwise established in an air construction permit, provisions in NSPS Subpart A do not apply to SIP limits</w:t>
      </w:r>
      <w:r w:rsidR="008D5866">
        <w:rPr>
          <w:sz w:val="22"/>
          <w:szCs w:val="22"/>
        </w:rPr>
        <w:t xml:space="preserve">.  Therefore, Specific Condition </w:t>
      </w:r>
      <w:r w:rsidR="008D5866">
        <w:rPr>
          <w:b/>
          <w:sz w:val="22"/>
          <w:szCs w:val="22"/>
        </w:rPr>
        <w:t>B.16</w:t>
      </w:r>
      <w:r w:rsidR="008D5866">
        <w:rPr>
          <w:sz w:val="22"/>
          <w:szCs w:val="22"/>
        </w:rPr>
        <w:t xml:space="preserve"> (formerly </w:t>
      </w:r>
      <w:r w:rsidR="008D5866">
        <w:rPr>
          <w:b/>
          <w:sz w:val="22"/>
          <w:szCs w:val="22"/>
        </w:rPr>
        <w:t>B.9</w:t>
      </w:r>
      <w:r w:rsidR="008D5866">
        <w:rPr>
          <w:sz w:val="22"/>
          <w:szCs w:val="22"/>
        </w:rPr>
        <w:t xml:space="preserve"> of Permit No. 0850001-040-AV) has been revised as follows:</w:t>
      </w:r>
    </w:p>
    <w:p w:rsidR="008D5866" w:rsidRPr="008D5866" w:rsidRDefault="008D5866" w:rsidP="00CB423F">
      <w:pPr>
        <w:numPr>
          <w:ilvl w:val="0"/>
          <w:numId w:val="31"/>
        </w:numPr>
        <w:tabs>
          <w:tab w:val="num" w:pos="0"/>
          <w:tab w:val="left" w:pos="630"/>
          <w:tab w:val="left" w:pos="720"/>
          <w:tab w:val="left" w:pos="1080"/>
        </w:tabs>
        <w:rPr>
          <w:sz w:val="22"/>
          <w:szCs w:val="22"/>
        </w:rPr>
      </w:pPr>
      <w:bookmarkStart w:id="25" w:name="_Ref504381825"/>
      <w:r w:rsidRPr="008D5866">
        <w:rPr>
          <w:strike/>
          <w:sz w:val="22"/>
          <w:szCs w:val="22"/>
          <w:highlight w:val="yellow"/>
          <w:u w:val="single"/>
        </w:rPr>
        <w:t>Opacity</w:t>
      </w:r>
      <w:r w:rsidRPr="008D5866">
        <w:rPr>
          <w:sz w:val="22"/>
          <w:szCs w:val="22"/>
        </w:rPr>
        <w:t>.</w:t>
      </w:r>
      <w:bookmarkEnd w:id="25"/>
      <w:r w:rsidRPr="008D5866">
        <w:rPr>
          <w:sz w:val="22"/>
          <w:szCs w:val="22"/>
        </w:rPr>
        <w:t xml:space="preserve">  </w:t>
      </w:r>
    </w:p>
    <w:p w:rsidR="008D5866" w:rsidRPr="008D5866" w:rsidRDefault="008D5866" w:rsidP="00CB423F">
      <w:pPr>
        <w:numPr>
          <w:ilvl w:val="0"/>
          <w:numId w:val="47"/>
        </w:numPr>
        <w:rPr>
          <w:sz w:val="22"/>
          <w:szCs w:val="22"/>
          <w:highlight w:val="yellow"/>
        </w:rPr>
      </w:pPr>
      <w:r w:rsidRPr="008D5866">
        <w:rPr>
          <w:i/>
          <w:sz w:val="22"/>
          <w:szCs w:val="22"/>
        </w:rPr>
        <w:t>Visible Emissions</w:t>
      </w:r>
      <w:r w:rsidRPr="008D5866">
        <w:rPr>
          <w:sz w:val="22"/>
          <w:szCs w:val="22"/>
        </w:rPr>
        <w:t xml:space="preserve">.   </w:t>
      </w:r>
      <w:r w:rsidRPr="008D5866">
        <w:rPr>
          <w:strike/>
          <w:sz w:val="22"/>
          <w:szCs w:val="22"/>
          <w:highlight w:val="yellow"/>
        </w:rPr>
        <w:t>Visible emissions</w:t>
      </w:r>
      <w:r w:rsidRPr="008D5866">
        <w:rPr>
          <w:sz w:val="22"/>
          <w:szCs w:val="22"/>
        </w:rPr>
        <w:t xml:space="preserve"> </w:t>
      </w:r>
      <w:r w:rsidRPr="008D5866">
        <w:rPr>
          <w:sz w:val="22"/>
          <w:szCs w:val="22"/>
          <w:highlight w:val="yellow"/>
          <w:u w:val="double"/>
        </w:rPr>
        <w:t>As determined by stack test,</w:t>
      </w:r>
      <w:r w:rsidRPr="008D5866">
        <w:rPr>
          <w:sz w:val="22"/>
          <w:szCs w:val="22"/>
        </w:rPr>
        <w:t xml:space="preserve"> </w:t>
      </w:r>
      <w:r w:rsidRPr="008D5866">
        <w:rPr>
          <w:sz w:val="22"/>
          <w:szCs w:val="22"/>
          <w:highlight w:val="yellow"/>
          <w:u w:val="double"/>
        </w:rPr>
        <w:t>VE</w:t>
      </w:r>
      <w:r w:rsidRPr="008D5866">
        <w:rPr>
          <w:sz w:val="22"/>
          <w:szCs w:val="22"/>
        </w:rPr>
        <w:t xml:space="preserve"> shall neither exceed 10% opacity while burning natural gas, nor 20% opacity while burning distillate oil.  [</w:t>
      </w:r>
      <w:r w:rsidRPr="008D5866">
        <w:rPr>
          <w:sz w:val="22"/>
          <w:szCs w:val="22"/>
          <w:highlight w:val="yellow"/>
          <w:u w:val="double"/>
        </w:rPr>
        <w:t>Permit No.</w:t>
      </w:r>
      <w:r w:rsidRPr="008D5866">
        <w:rPr>
          <w:sz w:val="22"/>
          <w:szCs w:val="22"/>
        </w:rPr>
        <w:t xml:space="preserve"> PSD-FL-146, Specific Condition No. 8.]</w:t>
      </w:r>
    </w:p>
    <w:p w:rsidR="008D5866" w:rsidRPr="008D5866" w:rsidRDefault="008D5866" w:rsidP="00CB423F">
      <w:pPr>
        <w:numPr>
          <w:ilvl w:val="0"/>
          <w:numId w:val="47"/>
        </w:numPr>
        <w:rPr>
          <w:strike/>
          <w:sz w:val="22"/>
          <w:szCs w:val="22"/>
          <w:highlight w:val="yellow"/>
        </w:rPr>
      </w:pPr>
      <w:r w:rsidRPr="008D5866">
        <w:rPr>
          <w:i/>
          <w:strike/>
          <w:sz w:val="22"/>
          <w:szCs w:val="22"/>
          <w:highlight w:val="yellow"/>
        </w:rPr>
        <w:t>Compliance</w:t>
      </w:r>
      <w:r w:rsidRPr="008D5866">
        <w:rPr>
          <w:strike/>
          <w:sz w:val="22"/>
          <w:szCs w:val="22"/>
          <w:highlight w:val="yellow"/>
        </w:rPr>
        <w:t>.  Compliance with standards in 40 CFR 60, other than opacity standards, shall be determined in accordance with performance tests established by 40 CFR 60.8, unless otherwise specified in the applicable standard.  [40 CFR 60.11(a)]</w:t>
      </w:r>
    </w:p>
    <w:p w:rsidR="008D5866" w:rsidRPr="008D5866" w:rsidRDefault="008D5866" w:rsidP="00CB423F">
      <w:pPr>
        <w:numPr>
          <w:ilvl w:val="0"/>
          <w:numId w:val="47"/>
        </w:numPr>
        <w:spacing w:after="120"/>
        <w:rPr>
          <w:strike/>
          <w:sz w:val="22"/>
          <w:highlight w:val="yellow"/>
        </w:rPr>
      </w:pPr>
      <w:r w:rsidRPr="008D5866">
        <w:rPr>
          <w:i/>
          <w:strike/>
          <w:sz w:val="22"/>
          <w:szCs w:val="22"/>
          <w:highlight w:val="yellow"/>
        </w:rPr>
        <w:t>Startup, Shutdown and Malfunction</w:t>
      </w:r>
      <w:r w:rsidRPr="008D5866">
        <w:rPr>
          <w:strike/>
          <w:sz w:val="22"/>
          <w:szCs w:val="22"/>
          <w:highlight w:val="yellow"/>
        </w:rPr>
        <w:t>.  The opacity standards set forth in 40 CFR 60 shall apply at all times except during periods of startup, shutdown, malfunction, and as otherwise provided in the applicable standard.  [40 CFR 60.11(c)]</w:t>
      </w:r>
    </w:p>
    <w:p w:rsidR="00F84335" w:rsidRDefault="00F84335" w:rsidP="00CB423F">
      <w:pPr>
        <w:pStyle w:val="ListParagraph"/>
        <w:numPr>
          <w:ilvl w:val="0"/>
          <w:numId w:val="1"/>
        </w:numPr>
        <w:tabs>
          <w:tab w:val="left" w:pos="360"/>
        </w:tabs>
        <w:spacing w:after="120"/>
        <w:contextualSpacing w:val="0"/>
        <w:rPr>
          <w:sz w:val="22"/>
          <w:szCs w:val="22"/>
        </w:rPr>
      </w:pPr>
      <w:r>
        <w:rPr>
          <w:sz w:val="22"/>
          <w:szCs w:val="22"/>
        </w:rPr>
        <w:t xml:space="preserve">To reflect current Title V air operation permit format standards and the current version of Rule 62-210.700, F.A.C., Specific Condition </w:t>
      </w:r>
      <w:r>
        <w:rPr>
          <w:b/>
          <w:sz w:val="22"/>
          <w:szCs w:val="22"/>
        </w:rPr>
        <w:t>B.17</w:t>
      </w:r>
      <w:r>
        <w:rPr>
          <w:sz w:val="22"/>
          <w:szCs w:val="22"/>
        </w:rPr>
        <w:t xml:space="preserve"> has been added to this subsection.  Language has been added to this condition to reflect that alternative excess emissions standards apply to NO</w:t>
      </w:r>
      <w:r>
        <w:rPr>
          <w:sz w:val="22"/>
          <w:szCs w:val="22"/>
          <w:vertAlign w:val="subscript"/>
        </w:rPr>
        <w:t>X</w:t>
      </w:r>
      <w:r>
        <w:rPr>
          <w:sz w:val="22"/>
          <w:szCs w:val="22"/>
        </w:rPr>
        <w:t xml:space="preserve"> emissions measured using a CEMS.  The revision appears as follows:</w:t>
      </w:r>
    </w:p>
    <w:p w:rsidR="00F84335" w:rsidRPr="00F84335" w:rsidRDefault="00F84335" w:rsidP="00F84335">
      <w:pPr>
        <w:numPr>
          <w:ilvl w:val="0"/>
          <w:numId w:val="31"/>
        </w:numPr>
        <w:tabs>
          <w:tab w:val="num" w:pos="0"/>
          <w:tab w:val="left" w:pos="630"/>
          <w:tab w:val="left" w:pos="720"/>
          <w:tab w:val="left" w:pos="1080"/>
        </w:tabs>
        <w:rPr>
          <w:sz w:val="22"/>
          <w:szCs w:val="22"/>
          <w:highlight w:val="yellow"/>
          <w:u w:val="double"/>
        </w:rPr>
      </w:pPr>
      <w:r w:rsidRPr="00F84335">
        <w:rPr>
          <w:sz w:val="22"/>
          <w:szCs w:val="22"/>
          <w:highlight w:val="yellow"/>
          <w:u w:val="double"/>
        </w:rPr>
        <w:t xml:space="preserve">Excess Emissions Allowed.  Except as provided in Specific Condition </w:t>
      </w:r>
      <w:r>
        <w:rPr>
          <w:b/>
          <w:sz w:val="22"/>
          <w:szCs w:val="22"/>
          <w:highlight w:val="yellow"/>
          <w:u w:val="double"/>
        </w:rPr>
        <w:t>B.19</w:t>
      </w:r>
      <w:r w:rsidRPr="00F84335">
        <w:rPr>
          <w:sz w:val="22"/>
          <w:szCs w:val="22"/>
          <w:highlight w:val="yellow"/>
          <w:u w:val="double"/>
        </w:rPr>
        <w:t>,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rsidR="008D5866" w:rsidRDefault="00EF7AE3" w:rsidP="00CB423F">
      <w:pPr>
        <w:pStyle w:val="ListParagraph"/>
        <w:numPr>
          <w:ilvl w:val="0"/>
          <w:numId w:val="1"/>
        </w:numPr>
        <w:tabs>
          <w:tab w:val="left" w:pos="360"/>
        </w:tabs>
        <w:spacing w:after="120"/>
        <w:contextualSpacing w:val="0"/>
        <w:rPr>
          <w:sz w:val="22"/>
          <w:szCs w:val="22"/>
        </w:rPr>
      </w:pPr>
      <w:r>
        <w:rPr>
          <w:sz w:val="22"/>
          <w:szCs w:val="22"/>
        </w:rPr>
        <w:t xml:space="preserve">Excess emissions provisions from NSPS Subpart GG were incorporated into the body of this permit as Specific Conditions </w:t>
      </w:r>
      <w:r>
        <w:rPr>
          <w:b/>
          <w:sz w:val="22"/>
          <w:szCs w:val="22"/>
        </w:rPr>
        <w:t>B.2</w:t>
      </w:r>
      <w:r w:rsidR="00F84335">
        <w:rPr>
          <w:b/>
          <w:sz w:val="22"/>
          <w:szCs w:val="22"/>
        </w:rPr>
        <w:t>1</w:t>
      </w:r>
      <w:r>
        <w:rPr>
          <w:sz w:val="22"/>
          <w:szCs w:val="22"/>
        </w:rPr>
        <w:t xml:space="preserve">, </w:t>
      </w:r>
      <w:r>
        <w:rPr>
          <w:b/>
          <w:sz w:val="22"/>
          <w:szCs w:val="22"/>
        </w:rPr>
        <w:t>B.2</w:t>
      </w:r>
      <w:r w:rsidR="00F84335">
        <w:rPr>
          <w:b/>
          <w:sz w:val="22"/>
          <w:szCs w:val="22"/>
        </w:rPr>
        <w:t>2</w:t>
      </w:r>
      <w:r>
        <w:rPr>
          <w:sz w:val="22"/>
          <w:szCs w:val="22"/>
        </w:rPr>
        <w:t xml:space="preserve"> and </w:t>
      </w:r>
      <w:r>
        <w:rPr>
          <w:b/>
          <w:sz w:val="22"/>
          <w:szCs w:val="22"/>
        </w:rPr>
        <w:t>B.2</w:t>
      </w:r>
      <w:r w:rsidR="00F84335">
        <w:rPr>
          <w:b/>
          <w:sz w:val="22"/>
          <w:szCs w:val="22"/>
        </w:rPr>
        <w:t>3</w:t>
      </w:r>
      <w:r>
        <w:rPr>
          <w:sz w:val="22"/>
          <w:szCs w:val="22"/>
        </w:rPr>
        <w:t xml:space="preserve">.  </w:t>
      </w:r>
    </w:p>
    <w:p w:rsidR="00EF7AE3" w:rsidRDefault="00107849" w:rsidP="00CB423F">
      <w:pPr>
        <w:pStyle w:val="ListParagraph"/>
        <w:numPr>
          <w:ilvl w:val="0"/>
          <w:numId w:val="1"/>
        </w:numPr>
        <w:tabs>
          <w:tab w:val="left" w:pos="360"/>
        </w:tabs>
        <w:spacing w:after="120"/>
        <w:contextualSpacing w:val="0"/>
        <w:rPr>
          <w:sz w:val="22"/>
          <w:szCs w:val="22"/>
        </w:rPr>
      </w:pPr>
      <w:r>
        <w:rPr>
          <w:sz w:val="22"/>
          <w:szCs w:val="22"/>
        </w:rPr>
        <w:t xml:space="preserve">Specific Condition </w:t>
      </w:r>
      <w:r>
        <w:rPr>
          <w:b/>
          <w:sz w:val="22"/>
          <w:szCs w:val="22"/>
        </w:rPr>
        <w:t>B.2</w:t>
      </w:r>
      <w:r w:rsidR="00F84335">
        <w:rPr>
          <w:b/>
          <w:sz w:val="22"/>
          <w:szCs w:val="22"/>
        </w:rPr>
        <w:t>5</w:t>
      </w:r>
      <w:r>
        <w:rPr>
          <w:sz w:val="22"/>
          <w:szCs w:val="22"/>
        </w:rPr>
        <w:t xml:space="preserve"> (formerly </w:t>
      </w:r>
      <w:r>
        <w:rPr>
          <w:b/>
          <w:sz w:val="22"/>
          <w:szCs w:val="22"/>
        </w:rPr>
        <w:t>B.14</w:t>
      </w:r>
      <w:r>
        <w:rPr>
          <w:sz w:val="22"/>
          <w:szCs w:val="22"/>
        </w:rPr>
        <w:t xml:space="preserve"> of Permit No. 0850001-040-AV) has been deleted.  The combustion turbines in this subsection utilize a NO</w:t>
      </w:r>
      <w:r>
        <w:rPr>
          <w:sz w:val="22"/>
          <w:szCs w:val="22"/>
          <w:vertAlign w:val="subscript"/>
        </w:rPr>
        <w:t>X</w:t>
      </w:r>
      <w:r>
        <w:rPr>
          <w:sz w:val="22"/>
          <w:szCs w:val="22"/>
        </w:rPr>
        <w:t xml:space="preserve"> CEMS that meets the requirements of 40 CFR 75.  Pursuant to 40 CFR 60.334(b)(3)(iii), a 40 CFR 75 CEMS may be used to satisfy the requirements of 40 CFR 60.334, thus, making Specific Condition </w:t>
      </w:r>
      <w:r>
        <w:rPr>
          <w:b/>
          <w:sz w:val="22"/>
          <w:szCs w:val="22"/>
        </w:rPr>
        <w:t>B.2</w:t>
      </w:r>
      <w:r w:rsidR="00F84335">
        <w:rPr>
          <w:b/>
          <w:sz w:val="22"/>
          <w:szCs w:val="22"/>
        </w:rPr>
        <w:t>5</w:t>
      </w:r>
      <w:r>
        <w:rPr>
          <w:sz w:val="22"/>
          <w:szCs w:val="22"/>
        </w:rPr>
        <w:t xml:space="preserve"> redundant. </w:t>
      </w:r>
    </w:p>
    <w:p w:rsidR="00D81127" w:rsidRDefault="00D81127" w:rsidP="00CB423F">
      <w:pPr>
        <w:pStyle w:val="ListParagraph"/>
        <w:numPr>
          <w:ilvl w:val="0"/>
          <w:numId w:val="1"/>
        </w:numPr>
        <w:tabs>
          <w:tab w:val="left" w:pos="360"/>
        </w:tabs>
        <w:spacing w:after="120"/>
        <w:contextualSpacing w:val="0"/>
        <w:rPr>
          <w:sz w:val="22"/>
          <w:szCs w:val="22"/>
        </w:rPr>
      </w:pPr>
      <w:r>
        <w:rPr>
          <w:sz w:val="22"/>
          <w:szCs w:val="22"/>
        </w:rPr>
        <w:t xml:space="preserve">To reflect the current version of </w:t>
      </w:r>
      <w:r w:rsidR="008413BA">
        <w:rPr>
          <w:sz w:val="22"/>
          <w:szCs w:val="22"/>
        </w:rPr>
        <w:t>NSPS</w:t>
      </w:r>
      <w:r>
        <w:rPr>
          <w:sz w:val="22"/>
          <w:szCs w:val="22"/>
        </w:rPr>
        <w:t xml:space="preserve"> Subpart GG, Specific Condition </w:t>
      </w:r>
      <w:r>
        <w:rPr>
          <w:b/>
          <w:sz w:val="22"/>
          <w:szCs w:val="22"/>
        </w:rPr>
        <w:t>B.2</w:t>
      </w:r>
      <w:r w:rsidR="00F84335">
        <w:rPr>
          <w:b/>
          <w:sz w:val="22"/>
          <w:szCs w:val="22"/>
        </w:rPr>
        <w:t>6</w:t>
      </w:r>
      <w:r>
        <w:rPr>
          <w:sz w:val="22"/>
          <w:szCs w:val="22"/>
        </w:rPr>
        <w:t xml:space="preserve"> (formerly </w:t>
      </w:r>
      <w:r w:rsidR="008413BA">
        <w:rPr>
          <w:b/>
          <w:sz w:val="22"/>
          <w:szCs w:val="22"/>
        </w:rPr>
        <w:t>B.15</w:t>
      </w:r>
      <w:r w:rsidR="008413BA">
        <w:rPr>
          <w:sz w:val="22"/>
          <w:szCs w:val="22"/>
        </w:rPr>
        <w:t xml:space="preserve"> in Permit No. 0850001-040-AV) has been revised as follows:</w:t>
      </w:r>
    </w:p>
    <w:p w:rsidR="008413BA" w:rsidRPr="008413BA" w:rsidRDefault="008413BA" w:rsidP="00DC0577">
      <w:pPr>
        <w:numPr>
          <w:ilvl w:val="0"/>
          <w:numId w:val="109"/>
        </w:numPr>
        <w:tabs>
          <w:tab w:val="left" w:pos="1080"/>
        </w:tabs>
        <w:ind w:left="720"/>
        <w:rPr>
          <w:sz w:val="22"/>
        </w:rPr>
      </w:pPr>
      <w:bookmarkStart w:id="26" w:name="_Ref503451166"/>
      <w:r w:rsidRPr="008413BA">
        <w:rPr>
          <w:sz w:val="22"/>
          <w:szCs w:val="22"/>
          <w:u w:val="single"/>
        </w:rPr>
        <w:t>Custom Fuel Monitoring Schedule for Natural Gas</w:t>
      </w:r>
      <w:r w:rsidRPr="008413BA">
        <w:rPr>
          <w:sz w:val="22"/>
          <w:szCs w:val="22"/>
        </w:rPr>
        <w:t>.  The Martin Power Plant facility requested approval for and was granted approval to utilize a customized fuel monitoring schedule for natural gas firing, pursuant to 40 CFR 60.334.  The schedule is as follows:</w:t>
      </w:r>
      <w:bookmarkEnd w:id="26"/>
    </w:p>
    <w:p w:rsidR="008413BA" w:rsidRPr="008413BA" w:rsidRDefault="008413BA" w:rsidP="00B2321A">
      <w:pPr>
        <w:numPr>
          <w:ilvl w:val="0"/>
          <w:numId w:val="48"/>
        </w:numPr>
        <w:contextualSpacing/>
        <w:rPr>
          <w:sz w:val="22"/>
        </w:rPr>
      </w:pPr>
      <w:r w:rsidRPr="008413BA">
        <w:rPr>
          <w:i/>
          <w:sz w:val="22"/>
          <w:szCs w:val="22"/>
        </w:rPr>
        <w:t xml:space="preserve">Nitrogen Content.  </w:t>
      </w:r>
      <w:r w:rsidRPr="008413BA">
        <w:rPr>
          <w:sz w:val="22"/>
          <w:szCs w:val="22"/>
        </w:rPr>
        <w:t>Monitoring of fuel nitrogen content shall not be required if natural gas is the only fuel being fired in the gas turbines.</w:t>
      </w:r>
    </w:p>
    <w:p w:rsidR="008413BA" w:rsidRPr="008413BA" w:rsidRDefault="008413BA" w:rsidP="00B2321A">
      <w:pPr>
        <w:numPr>
          <w:ilvl w:val="0"/>
          <w:numId w:val="48"/>
        </w:numPr>
        <w:contextualSpacing/>
        <w:rPr>
          <w:sz w:val="22"/>
        </w:rPr>
      </w:pPr>
      <w:r w:rsidRPr="008413BA">
        <w:rPr>
          <w:i/>
          <w:sz w:val="22"/>
          <w:szCs w:val="22"/>
        </w:rPr>
        <w:t>Sulfur Monitoring.</w:t>
      </w:r>
    </w:p>
    <w:p w:rsidR="008413BA" w:rsidRPr="008413BA" w:rsidRDefault="008413BA" w:rsidP="00B2321A">
      <w:pPr>
        <w:numPr>
          <w:ilvl w:val="0"/>
          <w:numId w:val="49"/>
        </w:numPr>
        <w:rPr>
          <w:sz w:val="22"/>
        </w:rPr>
      </w:pPr>
      <w:r w:rsidRPr="008413BA">
        <w:rPr>
          <w:sz w:val="22"/>
          <w:szCs w:val="22"/>
        </w:rPr>
        <w:t xml:space="preserve">Analysis for fuel sulfur content of the natural gas shall be conducted using one of the approved ASTM reference methods for the measurement of sulfur in gaseous fuels, or an approved alternative method.  The reference methods are ASTM D1072-80, </w:t>
      </w:r>
      <w:r w:rsidRPr="008413BA">
        <w:rPr>
          <w:strike/>
          <w:sz w:val="22"/>
          <w:szCs w:val="22"/>
          <w:highlight w:val="yellow"/>
        </w:rPr>
        <w:t>ASTM D3031-81,</w:t>
      </w:r>
      <w:r w:rsidRPr="008413BA">
        <w:rPr>
          <w:sz w:val="22"/>
          <w:szCs w:val="22"/>
        </w:rPr>
        <w:t xml:space="preserve"> ASTM D3246-81, </w:t>
      </w:r>
      <w:r w:rsidRPr="008413BA">
        <w:rPr>
          <w:sz w:val="22"/>
          <w:szCs w:val="22"/>
          <w:highlight w:val="yellow"/>
          <w:u w:val="double"/>
        </w:rPr>
        <w:t>ASTM D4468-85 and ASTM D6667-01</w:t>
      </w:r>
      <w:r w:rsidRPr="008413BA">
        <w:rPr>
          <w:sz w:val="22"/>
          <w:szCs w:val="22"/>
        </w:rPr>
        <w:t xml:space="preserve"> </w:t>
      </w:r>
      <w:r w:rsidRPr="008413BA">
        <w:rPr>
          <w:strike/>
          <w:sz w:val="22"/>
          <w:szCs w:val="22"/>
          <w:highlight w:val="yellow"/>
        </w:rPr>
        <w:t>and ASTM D4084-82</w:t>
      </w:r>
      <w:r w:rsidRPr="008413BA">
        <w:rPr>
          <w:sz w:val="22"/>
          <w:szCs w:val="22"/>
        </w:rPr>
        <w:t>, as referenced in 40 CFR 60.335(b)(</w:t>
      </w:r>
      <w:r w:rsidRPr="008413BA">
        <w:rPr>
          <w:strike/>
          <w:sz w:val="22"/>
          <w:szCs w:val="22"/>
          <w:highlight w:val="yellow"/>
        </w:rPr>
        <w:t>2</w:t>
      </w:r>
      <w:r w:rsidRPr="008413BA">
        <w:rPr>
          <w:sz w:val="22"/>
          <w:szCs w:val="22"/>
          <w:highlight w:val="yellow"/>
          <w:u w:val="double"/>
        </w:rPr>
        <w:t>10</w:t>
      </w:r>
      <w:r w:rsidRPr="008413BA">
        <w:rPr>
          <w:sz w:val="22"/>
          <w:szCs w:val="22"/>
        </w:rPr>
        <w:t xml:space="preserve">), </w:t>
      </w:r>
      <w:r w:rsidRPr="008413BA">
        <w:rPr>
          <w:sz w:val="22"/>
          <w:szCs w:val="22"/>
          <w:highlight w:val="yellow"/>
          <w:u w:val="double"/>
        </w:rPr>
        <w:t>and ASTM D4084-82 (if the total sulfur content of the gaseous fuel during the most recent performance test was less than 0.4 weight percent),</w:t>
      </w:r>
      <w:r w:rsidRPr="008413BA">
        <w:rPr>
          <w:sz w:val="22"/>
          <w:szCs w:val="22"/>
        </w:rPr>
        <w:t xml:space="preserve"> or the latest edition(s).</w:t>
      </w:r>
    </w:p>
    <w:p w:rsidR="008413BA" w:rsidRPr="008413BA" w:rsidRDefault="008413BA" w:rsidP="00B2321A">
      <w:pPr>
        <w:numPr>
          <w:ilvl w:val="0"/>
          <w:numId w:val="49"/>
        </w:numPr>
        <w:rPr>
          <w:sz w:val="22"/>
        </w:rPr>
      </w:pPr>
      <w:r w:rsidRPr="008413BA">
        <w:rPr>
          <w:sz w:val="22"/>
          <w:szCs w:val="22"/>
        </w:rPr>
        <w:t>This custom fuel monitoring schedule shall become effective on the date this permit becomes valid. Effective the date of this custom schedule, sulfur monitoring shall be conducted twice monthly for six months.  If this monitoring shows little variability in the fuel sulfur content, and indicates consistent compliance with 40 CFR 60.333, then sulfur monitoring shall be conducted once per quarter for six quarters.  If monitoring data is provided by the applicant which demonstrates consistent compliance with the requirements herein the applicant may begin monitoring as per the requirements of 2(c).</w:t>
      </w:r>
    </w:p>
    <w:p w:rsidR="008413BA" w:rsidRPr="008413BA" w:rsidRDefault="008413BA" w:rsidP="00B2321A">
      <w:pPr>
        <w:numPr>
          <w:ilvl w:val="0"/>
          <w:numId w:val="49"/>
        </w:numPr>
        <w:rPr>
          <w:sz w:val="22"/>
        </w:rPr>
      </w:pPr>
      <w:r w:rsidRPr="008413BA">
        <w:rPr>
          <w:sz w:val="22"/>
          <w:szCs w:val="22"/>
        </w:rPr>
        <w:t>If after the monitoring required in item 2(b) above, or herein, the sulfur content of the fuel shows little variability and, calculated as sulfur dioxide, represents consistent compliance with the sulfur dioxide emission limits specified under 40 CFR 60.333, sample analysis shall be conducted twice per annum.  This monitoring shall be conducted during the first and third quarters of each calendar year.</w:t>
      </w:r>
    </w:p>
    <w:p w:rsidR="008413BA" w:rsidRPr="008413BA" w:rsidRDefault="008413BA" w:rsidP="00B2321A">
      <w:pPr>
        <w:numPr>
          <w:ilvl w:val="0"/>
          <w:numId w:val="49"/>
        </w:numPr>
        <w:rPr>
          <w:sz w:val="22"/>
        </w:rPr>
      </w:pPr>
      <w:r w:rsidRPr="008413BA">
        <w:rPr>
          <w:sz w:val="22"/>
          <w:szCs w:val="22"/>
        </w:rPr>
        <w:t>Should any sulfur analysis as required in items 2(b) or 2(c) above indicate noncompliance with 40 CFR 60.333, the owner or operator shall notify the Department of such excess emissions and the custom schedule shall be re-examined by the Environmental Protection Agency.  Sulfur monitoring shall be conducted weekly during the interim period when this custom schedule is being re-examined.</w:t>
      </w:r>
    </w:p>
    <w:p w:rsidR="008413BA" w:rsidRPr="008413BA" w:rsidRDefault="008413BA" w:rsidP="00B2321A">
      <w:pPr>
        <w:numPr>
          <w:ilvl w:val="0"/>
          <w:numId w:val="48"/>
        </w:numPr>
        <w:contextualSpacing/>
        <w:rPr>
          <w:sz w:val="22"/>
        </w:rPr>
      </w:pPr>
      <w:r w:rsidRPr="008413BA">
        <w:rPr>
          <w:i/>
          <w:sz w:val="22"/>
          <w:szCs w:val="22"/>
        </w:rPr>
        <w:t>Change in Fuel Supply</w:t>
      </w:r>
      <w:r w:rsidRPr="008413BA">
        <w:rPr>
          <w:sz w:val="22"/>
          <w:szCs w:val="22"/>
        </w:rPr>
        <w:t>.  If there is a change in fuel supply, the owner or operator must notify the Department of such change for re-examination of this custom schedule.  A substantial change in fuel quality shall be considered as a change in fuel supply.  Sulfur monitoring shall be conducted weekly during the interim period when this custom schedule is being re-examined.</w:t>
      </w:r>
    </w:p>
    <w:p w:rsidR="008413BA" w:rsidRPr="008413BA" w:rsidRDefault="008413BA" w:rsidP="00B2321A">
      <w:pPr>
        <w:numPr>
          <w:ilvl w:val="0"/>
          <w:numId w:val="48"/>
        </w:numPr>
        <w:contextualSpacing/>
        <w:rPr>
          <w:sz w:val="22"/>
        </w:rPr>
      </w:pPr>
      <w:r w:rsidRPr="008413BA">
        <w:rPr>
          <w:i/>
          <w:sz w:val="22"/>
          <w:szCs w:val="22"/>
        </w:rPr>
        <w:t>Fuel Records</w:t>
      </w:r>
      <w:r w:rsidRPr="008413BA">
        <w:rPr>
          <w:sz w:val="22"/>
          <w:szCs w:val="22"/>
        </w:rPr>
        <w:t>.  Records of sample analysis and fuel supply pertinent to this custom schedule shall be retained for a period of five years, and be available for inspection by personnel of federal, state, and local air pollution control agencies.</w:t>
      </w:r>
    </w:p>
    <w:p w:rsidR="008413BA" w:rsidRPr="008413BA" w:rsidRDefault="008413BA" w:rsidP="008413BA">
      <w:pPr>
        <w:spacing w:after="120"/>
        <w:ind w:left="720"/>
        <w:rPr>
          <w:sz w:val="22"/>
        </w:rPr>
      </w:pPr>
      <w:r w:rsidRPr="008413BA">
        <w:rPr>
          <w:sz w:val="22"/>
        </w:rPr>
        <w:t>[</w:t>
      </w:r>
      <w:r w:rsidRPr="008413BA">
        <w:rPr>
          <w:sz w:val="22"/>
          <w:highlight w:val="yellow"/>
          <w:u w:val="double"/>
        </w:rPr>
        <w:t>40 CFR 60.334(h)(1), (i)(3) &amp; 60.335(b)(10)(ii);</w:t>
      </w:r>
      <w:r w:rsidRPr="008413BA">
        <w:rPr>
          <w:sz w:val="22"/>
        </w:rPr>
        <w:t xml:space="preserve"> Permit No. PSD-FL-146; and, NSPS Custom Fuel Monitoring Schedule dated 10/14/1997]</w:t>
      </w:r>
    </w:p>
    <w:p w:rsidR="008413BA" w:rsidRDefault="008413BA" w:rsidP="008413BA">
      <w:pPr>
        <w:pStyle w:val="ListParagraph"/>
        <w:numPr>
          <w:ilvl w:val="0"/>
          <w:numId w:val="1"/>
        </w:numPr>
        <w:tabs>
          <w:tab w:val="left" w:pos="360"/>
        </w:tabs>
        <w:spacing w:after="120"/>
        <w:contextualSpacing w:val="0"/>
        <w:rPr>
          <w:sz w:val="22"/>
          <w:szCs w:val="22"/>
        </w:rPr>
      </w:pPr>
      <w:r>
        <w:rPr>
          <w:sz w:val="22"/>
          <w:szCs w:val="22"/>
        </w:rPr>
        <w:t xml:space="preserve">Specific Condition </w:t>
      </w:r>
      <w:r>
        <w:rPr>
          <w:b/>
          <w:sz w:val="22"/>
          <w:szCs w:val="22"/>
        </w:rPr>
        <w:t>B.2</w:t>
      </w:r>
      <w:r w:rsidR="00F84335">
        <w:rPr>
          <w:b/>
          <w:sz w:val="22"/>
          <w:szCs w:val="22"/>
        </w:rPr>
        <w:t>7</w:t>
      </w:r>
      <w:r>
        <w:rPr>
          <w:sz w:val="22"/>
          <w:szCs w:val="22"/>
        </w:rPr>
        <w:t xml:space="preserve"> has been added to reflect the incorporation of provisions from NSPS Subpart GG fuel sulfur monitoring, specifically a fuel sulfur monitoring exemption for natural gas from 40 CFR 60.334(h)(3).</w:t>
      </w:r>
    </w:p>
    <w:p w:rsidR="008413BA" w:rsidRDefault="00CE7B5B" w:rsidP="008413BA">
      <w:pPr>
        <w:pStyle w:val="ListParagraph"/>
        <w:numPr>
          <w:ilvl w:val="0"/>
          <w:numId w:val="1"/>
        </w:numPr>
        <w:tabs>
          <w:tab w:val="left" w:pos="360"/>
        </w:tabs>
        <w:spacing w:after="120"/>
        <w:contextualSpacing w:val="0"/>
        <w:rPr>
          <w:sz w:val="22"/>
          <w:szCs w:val="22"/>
        </w:rPr>
      </w:pPr>
      <w:r>
        <w:rPr>
          <w:sz w:val="22"/>
          <w:szCs w:val="22"/>
        </w:rPr>
        <w:t>To r</w:t>
      </w:r>
      <w:r w:rsidR="00E116A5">
        <w:rPr>
          <w:sz w:val="22"/>
          <w:szCs w:val="22"/>
        </w:rPr>
        <w:t xml:space="preserve">eflect the incorporation of Permit No. 0850001-041-AC (PSD-FL-146J and 327G) </w:t>
      </w:r>
      <w:r w:rsidR="008413BA">
        <w:rPr>
          <w:sz w:val="22"/>
          <w:szCs w:val="22"/>
        </w:rPr>
        <w:t xml:space="preserve">Specific Condition </w:t>
      </w:r>
      <w:r w:rsidR="008413BA">
        <w:rPr>
          <w:b/>
          <w:sz w:val="22"/>
          <w:szCs w:val="22"/>
        </w:rPr>
        <w:t>B.2</w:t>
      </w:r>
      <w:r w:rsidR="00F84335">
        <w:rPr>
          <w:b/>
          <w:sz w:val="22"/>
          <w:szCs w:val="22"/>
        </w:rPr>
        <w:t>8</w:t>
      </w:r>
      <w:r w:rsidR="008413BA">
        <w:rPr>
          <w:sz w:val="22"/>
          <w:szCs w:val="22"/>
        </w:rPr>
        <w:t xml:space="preserve"> (formerly </w:t>
      </w:r>
      <w:r w:rsidR="008413BA">
        <w:rPr>
          <w:b/>
          <w:sz w:val="22"/>
          <w:szCs w:val="22"/>
        </w:rPr>
        <w:t>B.16</w:t>
      </w:r>
      <w:r w:rsidR="008413BA">
        <w:rPr>
          <w:sz w:val="22"/>
          <w:szCs w:val="22"/>
        </w:rPr>
        <w:t xml:space="preserve"> of Permit No. 0850001-040-AV)</w:t>
      </w:r>
      <w:r>
        <w:rPr>
          <w:sz w:val="22"/>
          <w:szCs w:val="22"/>
        </w:rPr>
        <w:t xml:space="preserve"> has been deleted</w:t>
      </w:r>
      <w:r w:rsidR="008413BA">
        <w:rPr>
          <w:sz w:val="22"/>
          <w:szCs w:val="22"/>
        </w:rPr>
        <w:t xml:space="preserve">.  </w:t>
      </w:r>
      <w:r>
        <w:rPr>
          <w:sz w:val="22"/>
          <w:szCs w:val="22"/>
        </w:rPr>
        <w:t xml:space="preserve">The language in this condition comes from Guidance Document No. DARM-EM-03, which established temperature monitoring system operational procedures.  This guidance document was established by Permit No. 0850001-005-AC/PSD-FL-146(G).  Since the revision made by Permit No. 0850001-041-AC (PSD-FL-146J and 327G), temperature monitoring is no longer required, making this condition obsolete.  </w:t>
      </w:r>
    </w:p>
    <w:p w:rsidR="00CE7B5B" w:rsidRDefault="00EA1DBC" w:rsidP="008413BA">
      <w:pPr>
        <w:pStyle w:val="ListParagraph"/>
        <w:numPr>
          <w:ilvl w:val="0"/>
          <w:numId w:val="1"/>
        </w:numPr>
        <w:tabs>
          <w:tab w:val="left" w:pos="360"/>
        </w:tabs>
        <w:spacing w:after="120"/>
        <w:contextualSpacing w:val="0"/>
        <w:rPr>
          <w:sz w:val="22"/>
          <w:szCs w:val="22"/>
        </w:rPr>
      </w:pPr>
      <w:r>
        <w:rPr>
          <w:sz w:val="22"/>
          <w:szCs w:val="22"/>
        </w:rPr>
        <w:t>To reflect the incorporation of Permit No. 0850001-041-AC (PSD-FL-14J and 327G)</w:t>
      </w:r>
      <w:r w:rsidR="000552A9">
        <w:rPr>
          <w:sz w:val="22"/>
          <w:szCs w:val="22"/>
        </w:rPr>
        <w:t>,</w:t>
      </w:r>
      <w:r>
        <w:rPr>
          <w:sz w:val="22"/>
          <w:szCs w:val="22"/>
        </w:rPr>
        <w:t xml:space="preserve"> </w:t>
      </w:r>
      <w:r w:rsidR="00CE7B5B">
        <w:rPr>
          <w:sz w:val="22"/>
          <w:szCs w:val="22"/>
        </w:rPr>
        <w:t xml:space="preserve">Specific </w:t>
      </w:r>
      <w:r>
        <w:rPr>
          <w:sz w:val="22"/>
          <w:szCs w:val="22"/>
        </w:rPr>
        <w:t xml:space="preserve">Condition </w:t>
      </w:r>
      <w:r>
        <w:rPr>
          <w:b/>
          <w:sz w:val="22"/>
          <w:szCs w:val="22"/>
        </w:rPr>
        <w:t>B.2</w:t>
      </w:r>
      <w:r w:rsidR="00F84335">
        <w:rPr>
          <w:b/>
          <w:sz w:val="22"/>
          <w:szCs w:val="22"/>
        </w:rPr>
        <w:t>9</w:t>
      </w:r>
      <w:r>
        <w:rPr>
          <w:sz w:val="22"/>
          <w:szCs w:val="22"/>
        </w:rPr>
        <w:t xml:space="preserve"> (formerly </w:t>
      </w:r>
      <w:r>
        <w:rPr>
          <w:b/>
          <w:sz w:val="22"/>
          <w:szCs w:val="22"/>
        </w:rPr>
        <w:t>B.17</w:t>
      </w:r>
      <w:r>
        <w:rPr>
          <w:sz w:val="22"/>
          <w:szCs w:val="22"/>
        </w:rPr>
        <w:t xml:space="preserve"> of Permit No. 0850001-040-AV)</w:t>
      </w:r>
      <w:r w:rsidR="000552A9">
        <w:rPr>
          <w:sz w:val="22"/>
          <w:szCs w:val="22"/>
        </w:rPr>
        <w:t xml:space="preserve"> has been revised as follows:</w:t>
      </w:r>
    </w:p>
    <w:p w:rsidR="000552A9" w:rsidRPr="000552A9" w:rsidRDefault="000552A9" w:rsidP="00B2321A">
      <w:pPr>
        <w:numPr>
          <w:ilvl w:val="0"/>
          <w:numId w:val="52"/>
        </w:numPr>
        <w:tabs>
          <w:tab w:val="left" w:pos="1080"/>
        </w:tabs>
        <w:rPr>
          <w:strike/>
          <w:sz w:val="22"/>
          <w:szCs w:val="22"/>
        </w:rPr>
      </w:pPr>
      <w:r w:rsidRPr="000552A9">
        <w:rPr>
          <w:sz w:val="22"/>
          <w:szCs w:val="22"/>
          <w:u w:val="single"/>
        </w:rPr>
        <w:t>Monitoring of Inlet Foggers</w:t>
      </w:r>
      <w:r w:rsidRPr="000552A9">
        <w:rPr>
          <w:sz w:val="22"/>
          <w:szCs w:val="22"/>
        </w:rPr>
        <w:t xml:space="preserve">.  The permittee shall monitor </w:t>
      </w:r>
      <w:r w:rsidRPr="000552A9">
        <w:rPr>
          <w:sz w:val="22"/>
          <w:szCs w:val="22"/>
          <w:highlight w:val="yellow"/>
          <w:u w:val="double"/>
        </w:rPr>
        <w:t>and record</w:t>
      </w:r>
      <w:r w:rsidRPr="000552A9">
        <w:rPr>
          <w:sz w:val="22"/>
          <w:szCs w:val="22"/>
        </w:rPr>
        <w:t xml:space="preserve"> </w:t>
      </w:r>
      <w:r w:rsidRPr="000552A9">
        <w:rPr>
          <w:strike/>
          <w:sz w:val="22"/>
          <w:szCs w:val="22"/>
          <w:highlight w:val="yellow"/>
        </w:rPr>
        <w:t>both</w:t>
      </w:r>
      <w:r w:rsidRPr="000552A9">
        <w:rPr>
          <w:sz w:val="22"/>
          <w:szCs w:val="22"/>
        </w:rPr>
        <w:t xml:space="preserve"> the hours of operation for the inlet foggers</w:t>
      </w:r>
      <w:r w:rsidRPr="000552A9">
        <w:rPr>
          <w:sz w:val="22"/>
          <w:szCs w:val="22"/>
          <w:highlight w:val="yellow"/>
          <w:u w:val="double"/>
        </w:rPr>
        <w:t>.</w:t>
      </w:r>
      <w:r w:rsidRPr="000552A9">
        <w:rPr>
          <w:sz w:val="22"/>
          <w:szCs w:val="22"/>
        </w:rPr>
        <w:t xml:space="preserve"> </w:t>
      </w:r>
      <w:r w:rsidRPr="000552A9">
        <w:rPr>
          <w:strike/>
          <w:sz w:val="22"/>
          <w:szCs w:val="22"/>
          <w:highlight w:val="yellow"/>
        </w:rPr>
        <w:t>and the degrees of cooling afforded by the inlet foggers.  Computation of the degree-hour will be performed as follows:</w:t>
      </w:r>
    </w:p>
    <w:p w:rsidR="000552A9" w:rsidRPr="000552A9" w:rsidRDefault="000552A9" w:rsidP="00B2321A">
      <w:pPr>
        <w:numPr>
          <w:ilvl w:val="0"/>
          <w:numId w:val="51"/>
        </w:numPr>
        <w:contextualSpacing/>
        <w:rPr>
          <w:strike/>
          <w:sz w:val="22"/>
          <w:szCs w:val="22"/>
          <w:highlight w:val="yellow"/>
        </w:rPr>
      </w:pPr>
      <w:r w:rsidRPr="000552A9">
        <w:rPr>
          <w:strike/>
          <w:sz w:val="22"/>
          <w:szCs w:val="22"/>
          <w:highlight w:val="yellow"/>
        </w:rPr>
        <w:t>⁰F-hours = (Number of hours of inlet fogger operating time) x (⁰F of cooling)</w:t>
      </w:r>
    </w:p>
    <w:p w:rsidR="000552A9" w:rsidRPr="000552A9" w:rsidRDefault="000552A9" w:rsidP="00B2321A">
      <w:pPr>
        <w:numPr>
          <w:ilvl w:val="0"/>
          <w:numId w:val="51"/>
        </w:numPr>
        <w:contextualSpacing/>
        <w:rPr>
          <w:strike/>
          <w:sz w:val="22"/>
          <w:szCs w:val="22"/>
          <w:highlight w:val="yellow"/>
        </w:rPr>
      </w:pPr>
      <w:r w:rsidRPr="000552A9">
        <w:rPr>
          <w:strike/>
          <w:sz w:val="22"/>
          <w:szCs w:val="22"/>
          <w:highlight w:val="yellow"/>
        </w:rPr>
        <w:t>Degrees of Cooling shall be calculated by subtracting the fogged compressor inlet air temperature from the unfogged compressor inlet temperature (upstream of the fogger).  The above calculation shall be performed for each hour of fogger operation.  Calculation records shall be maintained on the plant site and made available for inspection upon request.</w:t>
      </w:r>
    </w:p>
    <w:p w:rsidR="000552A9" w:rsidRDefault="000552A9" w:rsidP="000552A9">
      <w:pPr>
        <w:pStyle w:val="ListParagraph"/>
        <w:tabs>
          <w:tab w:val="left" w:pos="360"/>
        </w:tabs>
        <w:spacing w:after="120"/>
        <w:contextualSpacing w:val="0"/>
        <w:rPr>
          <w:sz w:val="22"/>
          <w:szCs w:val="22"/>
        </w:rPr>
      </w:pPr>
      <w:r w:rsidRPr="000552A9">
        <w:rPr>
          <w:strike/>
          <w:sz w:val="22"/>
          <w:szCs w:val="22"/>
          <w:highlight w:val="yellow"/>
        </w:rPr>
        <w:t>The temperature drop across the inlet foggers shall be monitored whenever water is injected at the foggers and hourly average temperature drops shall be calculated and recorded along with hours of operation automatically using a computer system.  The product of each hour of fogger operation and the average temperature depression for that hour (degree F-hours) shall be summed for each calendar year and shall be submitted to the Department’s Southeast District Office with the Annual Operating Report.  The temperature monitoring system shall be calibrated annually.</w:t>
      </w:r>
      <w:r w:rsidRPr="000552A9">
        <w:rPr>
          <w:sz w:val="22"/>
          <w:szCs w:val="22"/>
        </w:rPr>
        <w:t xml:space="preserve">  [</w:t>
      </w:r>
      <w:r w:rsidRPr="000552A9">
        <w:rPr>
          <w:strike/>
          <w:sz w:val="22"/>
          <w:szCs w:val="22"/>
          <w:highlight w:val="yellow"/>
        </w:rPr>
        <w:t>Rule 62-213.440, F.A.C. and</w:t>
      </w:r>
      <w:r w:rsidRPr="000552A9">
        <w:rPr>
          <w:sz w:val="22"/>
          <w:szCs w:val="22"/>
        </w:rPr>
        <w:t xml:space="preserve"> Permit No. 0850001-</w:t>
      </w:r>
      <w:r w:rsidRPr="000552A9">
        <w:rPr>
          <w:sz w:val="22"/>
          <w:szCs w:val="22"/>
          <w:highlight w:val="yellow"/>
          <w:u w:val="double"/>
        </w:rPr>
        <w:t>041</w:t>
      </w:r>
      <w:r w:rsidRPr="000552A9">
        <w:rPr>
          <w:strike/>
          <w:sz w:val="22"/>
          <w:szCs w:val="22"/>
          <w:highlight w:val="yellow"/>
        </w:rPr>
        <w:t>005-</w:t>
      </w:r>
      <w:r w:rsidRPr="000552A9">
        <w:rPr>
          <w:sz w:val="22"/>
          <w:szCs w:val="22"/>
        </w:rPr>
        <w:t>AC/PSD-FL-146</w:t>
      </w:r>
      <w:r w:rsidRPr="000552A9">
        <w:rPr>
          <w:sz w:val="22"/>
          <w:szCs w:val="22"/>
          <w:highlight w:val="yellow"/>
          <w:u w:val="double"/>
        </w:rPr>
        <w:t>J</w:t>
      </w:r>
      <w:r w:rsidRPr="000552A9">
        <w:rPr>
          <w:strike/>
          <w:sz w:val="22"/>
          <w:szCs w:val="22"/>
          <w:highlight w:val="yellow"/>
        </w:rPr>
        <w:t>(G)</w:t>
      </w:r>
      <w:r w:rsidRPr="000552A9">
        <w:rPr>
          <w:sz w:val="22"/>
          <w:szCs w:val="22"/>
        </w:rPr>
        <w:t xml:space="preserve"> </w:t>
      </w:r>
      <w:r w:rsidRPr="000552A9">
        <w:rPr>
          <w:sz w:val="22"/>
          <w:szCs w:val="22"/>
          <w:highlight w:val="yellow"/>
          <w:u w:val="double"/>
        </w:rPr>
        <w:t>&amp; 327G</w:t>
      </w:r>
      <w:r w:rsidRPr="000552A9">
        <w:rPr>
          <w:sz w:val="22"/>
          <w:szCs w:val="22"/>
        </w:rPr>
        <w:t>]</w:t>
      </w:r>
    </w:p>
    <w:p w:rsidR="00DE7640" w:rsidRDefault="00DE7640" w:rsidP="00DE7640">
      <w:pPr>
        <w:pStyle w:val="ListParagraph"/>
        <w:numPr>
          <w:ilvl w:val="0"/>
          <w:numId w:val="1"/>
        </w:numPr>
        <w:tabs>
          <w:tab w:val="left" w:pos="360"/>
        </w:tabs>
        <w:spacing w:after="120"/>
        <w:contextualSpacing w:val="0"/>
        <w:rPr>
          <w:sz w:val="22"/>
          <w:szCs w:val="22"/>
        </w:rPr>
      </w:pPr>
      <w:r>
        <w:rPr>
          <w:sz w:val="22"/>
          <w:szCs w:val="22"/>
        </w:rPr>
        <w:t xml:space="preserve">Specific Conditions </w:t>
      </w:r>
      <w:r>
        <w:rPr>
          <w:b/>
          <w:sz w:val="22"/>
          <w:szCs w:val="22"/>
        </w:rPr>
        <w:t>B.32</w:t>
      </w:r>
      <w:r>
        <w:rPr>
          <w:sz w:val="22"/>
          <w:szCs w:val="22"/>
        </w:rPr>
        <w:t xml:space="preserve"> and </w:t>
      </w:r>
      <w:r>
        <w:rPr>
          <w:b/>
          <w:sz w:val="22"/>
          <w:szCs w:val="22"/>
        </w:rPr>
        <w:t>B.33</w:t>
      </w:r>
      <w:r>
        <w:rPr>
          <w:sz w:val="22"/>
          <w:szCs w:val="22"/>
        </w:rPr>
        <w:t xml:space="preserve"> (formerly </w:t>
      </w:r>
      <w:r>
        <w:rPr>
          <w:b/>
          <w:sz w:val="22"/>
          <w:szCs w:val="22"/>
        </w:rPr>
        <w:t>B.20</w:t>
      </w:r>
      <w:r>
        <w:rPr>
          <w:sz w:val="22"/>
          <w:szCs w:val="22"/>
        </w:rPr>
        <w:t xml:space="preserve"> and </w:t>
      </w:r>
      <w:r>
        <w:rPr>
          <w:b/>
          <w:sz w:val="22"/>
          <w:szCs w:val="22"/>
        </w:rPr>
        <w:t>B.21</w:t>
      </w:r>
      <w:r>
        <w:rPr>
          <w:sz w:val="22"/>
          <w:szCs w:val="22"/>
        </w:rPr>
        <w:t xml:space="preserve"> of Permit No. 0850001-040-AV) have been deleted.  The emissions units in this subsection do not utilize a COMS and have no requirements to install and maintain a COMS.  </w:t>
      </w:r>
    </w:p>
    <w:p w:rsidR="00DE7640" w:rsidRDefault="00DE7640" w:rsidP="00DE7640">
      <w:pPr>
        <w:pStyle w:val="ListParagraph"/>
        <w:numPr>
          <w:ilvl w:val="0"/>
          <w:numId w:val="1"/>
        </w:numPr>
        <w:tabs>
          <w:tab w:val="left" w:pos="360"/>
        </w:tabs>
        <w:spacing w:after="120"/>
        <w:contextualSpacing w:val="0"/>
        <w:rPr>
          <w:sz w:val="22"/>
          <w:szCs w:val="22"/>
        </w:rPr>
      </w:pPr>
      <w:r>
        <w:rPr>
          <w:sz w:val="22"/>
          <w:szCs w:val="22"/>
        </w:rPr>
        <w:t xml:space="preserve">To reflect that the emissions units in this subsection do not </w:t>
      </w:r>
      <w:r w:rsidR="00825B87">
        <w:rPr>
          <w:sz w:val="22"/>
          <w:szCs w:val="22"/>
        </w:rPr>
        <w:t xml:space="preserve">utilize a COMS, Specific Conditions </w:t>
      </w:r>
      <w:r w:rsidR="00825B87">
        <w:rPr>
          <w:b/>
          <w:sz w:val="22"/>
          <w:szCs w:val="22"/>
        </w:rPr>
        <w:t>B.35</w:t>
      </w:r>
      <w:r w:rsidR="00825B87">
        <w:rPr>
          <w:sz w:val="22"/>
          <w:szCs w:val="22"/>
        </w:rPr>
        <w:t xml:space="preserve"> and </w:t>
      </w:r>
      <w:r w:rsidR="00825B87">
        <w:rPr>
          <w:b/>
          <w:sz w:val="22"/>
          <w:szCs w:val="22"/>
        </w:rPr>
        <w:t>B.38</w:t>
      </w:r>
      <w:r w:rsidR="00825B87">
        <w:rPr>
          <w:sz w:val="22"/>
          <w:szCs w:val="22"/>
        </w:rPr>
        <w:t xml:space="preserve"> (formerly </w:t>
      </w:r>
      <w:r w:rsidR="00825B87">
        <w:rPr>
          <w:b/>
          <w:sz w:val="22"/>
          <w:szCs w:val="22"/>
        </w:rPr>
        <w:t>B.23</w:t>
      </w:r>
      <w:r w:rsidR="00825B87">
        <w:rPr>
          <w:sz w:val="22"/>
          <w:szCs w:val="22"/>
        </w:rPr>
        <w:t xml:space="preserve"> and </w:t>
      </w:r>
      <w:r w:rsidR="00825B87">
        <w:rPr>
          <w:b/>
          <w:sz w:val="22"/>
          <w:szCs w:val="22"/>
        </w:rPr>
        <w:t>B.26</w:t>
      </w:r>
      <w:r w:rsidR="00825B87">
        <w:rPr>
          <w:sz w:val="22"/>
          <w:szCs w:val="22"/>
        </w:rPr>
        <w:t xml:space="preserve"> of Permit No. 0850001-040-AV) have been revised as follows:</w:t>
      </w:r>
    </w:p>
    <w:p w:rsidR="00825B87" w:rsidRPr="00825B87" w:rsidRDefault="00825B87" w:rsidP="00B2321A">
      <w:pPr>
        <w:numPr>
          <w:ilvl w:val="0"/>
          <w:numId w:val="54"/>
        </w:numPr>
        <w:tabs>
          <w:tab w:val="left" w:pos="1080"/>
        </w:tabs>
        <w:rPr>
          <w:strike/>
          <w:sz w:val="22"/>
          <w:szCs w:val="22"/>
        </w:rPr>
      </w:pPr>
      <w:r w:rsidRPr="00825B87">
        <w:rPr>
          <w:sz w:val="22"/>
          <w:szCs w:val="22"/>
          <w:u w:val="single"/>
        </w:rPr>
        <w:t>Frequency of Operation</w:t>
      </w:r>
      <w:r w:rsidRPr="00825B87">
        <w:rPr>
          <w:sz w:val="22"/>
          <w:szCs w:val="22"/>
        </w:rPr>
        <w:t xml:space="preserve">.  </w:t>
      </w:r>
      <w:r w:rsidRPr="00825B87">
        <w:rPr>
          <w:sz w:val="22"/>
          <w:szCs w:val="22"/>
          <w:highlight w:val="yellow"/>
          <w:u w:val="double"/>
        </w:rPr>
        <w:t>During each full unit operating hour, each CEMS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 in each of two quadrants) are required to validate the hour.</w:t>
      </w:r>
      <w:r w:rsidRPr="00825B87">
        <w:rPr>
          <w:sz w:val="22"/>
          <w:szCs w:val="22"/>
        </w:rPr>
        <w:t xml:space="preserve">  </w:t>
      </w:r>
      <w:r w:rsidRPr="00825B87">
        <w:rPr>
          <w:strike/>
          <w:sz w:val="22"/>
          <w:szCs w:val="22"/>
          <w:highlight w:val="yellow"/>
        </w:rPr>
        <w:t>Except for system breakdowns, repairs, calibration checks, and zero and span adjustments required under 40 CFR 60.13(d), all continuous monitoring systems (CMS) shall be in continuous operation and shall meet minimum frequency of operation requirements as follows:</w:t>
      </w:r>
    </w:p>
    <w:p w:rsidR="00825B87" w:rsidRPr="00825B87" w:rsidRDefault="00825B87" w:rsidP="00B2321A">
      <w:pPr>
        <w:numPr>
          <w:ilvl w:val="0"/>
          <w:numId w:val="53"/>
        </w:numPr>
        <w:rPr>
          <w:strike/>
          <w:sz w:val="22"/>
          <w:szCs w:val="22"/>
          <w:highlight w:val="yellow"/>
        </w:rPr>
      </w:pPr>
      <w:r w:rsidRPr="00825B87">
        <w:rPr>
          <w:strike/>
          <w:sz w:val="22"/>
          <w:szCs w:val="22"/>
          <w:highlight w:val="yellow"/>
        </w:rPr>
        <w:t>All continuous monitoring systems referenced by 40 CFR 60.13(c) for measuring opacity of emissions shall complete a minimum of one cycle of sampling and analyzing for each successive 10-second period and one cycle of data recording for each successive 6-minute period.</w:t>
      </w:r>
    </w:p>
    <w:p w:rsidR="00825B87" w:rsidRPr="00825B87" w:rsidRDefault="00825B87" w:rsidP="00B2321A">
      <w:pPr>
        <w:numPr>
          <w:ilvl w:val="0"/>
          <w:numId w:val="53"/>
        </w:numPr>
        <w:rPr>
          <w:strike/>
          <w:sz w:val="22"/>
          <w:szCs w:val="22"/>
          <w:highlight w:val="yellow"/>
        </w:rPr>
      </w:pPr>
      <w:r w:rsidRPr="00825B87">
        <w:rPr>
          <w:strike/>
          <w:sz w:val="22"/>
          <w:szCs w:val="22"/>
          <w:highlight w:val="yellow"/>
        </w:rPr>
        <w:t>All continuous monitoring systems referenced by 40 CFR 60.13(c) for measuring emissions, except opacity, shall complete a minimum of one cycle of operation (sampling, analyzing, and data recording) for each successive 15-minute period.</w:t>
      </w:r>
    </w:p>
    <w:p w:rsidR="00825B87" w:rsidRPr="00825B87" w:rsidRDefault="00825B87" w:rsidP="00825B87">
      <w:pPr>
        <w:spacing w:after="120"/>
        <w:ind w:left="720"/>
        <w:rPr>
          <w:strike/>
          <w:sz w:val="22"/>
          <w:szCs w:val="22"/>
        </w:rPr>
      </w:pPr>
      <w:r w:rsidRPr="00825B87">
        <w:rPr>
          <w:sz w:val="22"/>
          <w:szCs w:val="22"/>
        </w:rPr>
        <w:t>[40 CFR 60.334</w:t>
      </w:r>
      <w:r w:rsidRPr="00825B87">
        <w:rPr>
          <w:sz w:val="22"/>
          <w:szCs w:val="22"/>
          <w:highlight w:val="yellow"/>
          <w:u w:val="double"/>
        </w:rPr>
        <w:t>(b)(2)</w:t>
      </w:r>
      <w:r w:rsidRPr="00825B87">
        <w:rPr>
          <w:strike/>
          <w:sz w:val="22"/>
          <w:szCs w:val="22"/>
          <w:highlight w:val="yellow"/>
        </w:rPr>
        <w:t>13(e)(1) and (2)</w:t>
      </w:r>
      <w:r w:rsidRPr="00825B87">
        <w:rPr>
          <w:sz w:val="22"/>
          <w:szCs w:val="22"/>
        </w:rPr>
        <w:t>]</w:t>
      </w:r>
    </w:p>
    <w:p w:rsidR="00825B87" w:rsidRDefault="00825B87" w:rsidP="00B2321A">
      <w:pPr>
        <w:numPr>
          <w:ilvl w:val="0"/>
          <w:numId w:val="55"/>
        </w:numPr>
        <w:tabs>
          <w:tab w:val="left" w:pos="1080"/>
        </w:tabs>
        <w:spacing w:after="120"/>
        <w:rPr>
          <w:sz w:val="22"/>
          <w:szCs w:val="22"/>
        </w:rPr>
      </w:pPr>
      <w:r w:rsidRPr="00825B87">
        <w:rPr>
          <w:sz w:val="22"/>
          <w:szCs w:val="22"/>
          <w:u w:val="single"/>
        </w:rPr>
        <w:t>Data Reduction</w:t>
      </w:r>
      <w:r w:rsidRPr="00825B87">
        <w:rPr>
          <w:sz w:val="22"/>
          <w:szCs w:val="22"/>
        </w:rPr>
        <w:t xml:space="preserve">.  </w:t>
      </w:r>
      <w:r w:rsidRPr="00825B87">
        <w:rPr>
          <w:strike/>
          <w:sz w:val="22"/>
          <w:szCs w:val="22"/>
          <w:highlight w:val="yellow"/>
        </w:rPr>
        <w:t>Owners or operators of all continuous monitoring systems for measurement of opacity</w:t>
      </w:r>
      <w:r w:rsidRPr="00825B87">
        <w:rPr>
          <w:sz w:val="22"/>
          <w:szCs w:val="22"/>
        </w:rPr>
        <w:t xml:space="preserve"> </w:t>
      </w:r>
      <w:r w:rsidRPr="00825B87">
        <w:rPr>
          <w:sz w:val="22"/>
          <w:szCs w:val="22"/>
          <w:highlight w:val="yellow"/>
          <w:u w:val="double"/>
        </w:rPr>
        <w:t>For the purpose of complying with NSPS Subpart GG standards, the permittee</w:t>
      </w:r>
      <w:r w:rsidRPr="00825B87">
        <w:rPr>
          <w:sz w:val="22"/>
          <w:szCs w:val="22"/>
        </w:rPr>
        <w:t xml:space="preserve"> shall reduce all </w:t>
      </w:r>
      <w:r w:rsidRPr="00825B87">
        <w:rPr>
          <w:sz w:val="22"/>
          <w:szCs w:val="22"/>
          <w:highlight w:val="yellow"/>
          <w:u w:val="double"/>
        </w:rPr>
        <w:t>CEMS</w:t>
      </w:r>
      <w:r w:rsidRPr="00825B87">
        <w:rPr>
          <w:sz w:val="22"/>
          <w:szCs w:val="22"/>
        </w:rPr>
        <w:t xml:space="preserve"> data </w:t>
      </w:r>
      <w:r w:rsidRPr="00825B87">
        <w:rPr>
          <w:strike/>
          <w:sz w:val="22"/>
          <w:szCs w:val="22"/>
          <w:highlight w:val="yellow"/>
        </w:rPr>
        <w:t>to 6-minute averages and for continuous monitoring systems other than opacity</w:t>
      </w:r>
      <w:r w:rsidRPr="00825B87">
        <w:rPr>
          <w:sz w:val="22"/>
          <w:szCs w:val="22"/>
        </w:rPr>
        <w:t xml:space="preserve"> to 1-hour averages for time periods as defined in 40 CFR 60.2.  </w:t>
      </w:r>
      <w:r w:rsidRPr="00825B87">
        <w:rPr>
          <w:strike/>
          <w:sz w:val="22"/>
          <w:szCs w:val="22"/>
          <w:highlight w:val="yellow"/>
        </w:rPr>
        <w:t>Six-minute opacity averages shall be calculated from 36 or more data points equally spaced over each 6-minute period.  For continuous monitoring systems other than opacity, 1</w:t>
      </w:r>
      <w:r w:rsidRPr="00825B87">
        <w:rPr>
          <w:sz w:val="22"/>
          <w:szCs w:val="22"/>
          <w:highlight w:val="yellow"/>
          <w:u w:val="double"/>
        </w:rPr>
        <w:t>One</w:t>
      </w:r>
      <w:r w:rsidRPr="00825B87">
        <w:rPr>
          <w:sz w:val="22"/>
          <w:szCs w:val="22"/>
        </w:rPr>
        <w:t>-hour averages shall be computed from four or more data points equally spaced over each 1-hour period.  Data recorded during periods of continuous monitoring system breakdowns, repairs, calibration checks, and zero and span adjustments shall not be included in the data averages computed under this paragraph.  An arithmetic or integrated average of all data may be used.  The data may be recorded in reduced or non-reduced form (e.g., ppm pollutant and percent O</w:t>
      </w:r>
      <w:r w:rsidRPr="00825B87">
        <w:rPr>
          <w:sz w:val="22"/>
          <w:szCs w:val="22"/>
          <w:vertAlign w:val="subscript"/>
        </w:rPr>
        <w:t>2</w:t>
      </w:r>
      <w:r w:rsidRPr="00825B87">
        <w:rPr>
          <w:sz w:val="22"/>
          <w:szCs w:val="22"/>
        </w:rPr>
        <w:t xml:space="preserve"> or ng/J of pollutant).  All excess emissions shall be converted into units of the standard using the applicable conversion procedures specified in subparts.  After conversion into units of the standard, the data may be rounded to the same number of significant digits as used in the applicable subparts to specify the emission limit (e.g., rounded to the nearest 1 percent opacity).  [40 CFR 60.13(h)]</w:t>
      </w:r>
    </w:p>
    <w:p w:rsidR="00825B87" w:rsidRDefault="00825B87" w:rsidP="00825B87">
      <w:pPr>
        <w:pStyle w:val="ListParagraph"/>
        <w:numPr>
          <w:ilvl w:val="0"/>
          <w:numId w:val="1"/>
        </w:numPr>
        <w:tabs>
          <w:tab w:val="left" w:pos="360"/>
        </w:tabs>
        <w:spacing w:after="120"/>
        <w:contextualSpacing w:val="0"/>
        <w:rPr>
          <w:sz w:val="22"/>
          <w:szCs w:val="22"/>
        </w:rPr>
      </w:pPr>
      <w:bookmarkStart w:id="27" w:name="_Ref520375301"/>
      <w:r>
        <w:rPr>
          <w:sz w:val="22"/>
          <w:szCs w:val="22"/>
        </w:rPr>
        <w:t xml:space="preserve">Specific Condition </w:t>
      </w:r>
      <w:r>
        <w:rPr>
          <w:b/>
          <w:sz w:val="22"/>
          <w:szCs w:val="22"/>
        </w:rPr>
        <w:t>B.39</w:t>
      </w:r>
      <w:r>
        <w:rPr>
          <w:sz w:val="22"/>
          <w:szCs w:val="22"/>
        </w:rPr>
        <w:t xml:space="preserve"> (formerly </w:t>
      </w:r>
      <w:r>
        <w:rPr>
          <w:b/>
          <w:sz w:val="22"/>
          <w:szCs w:val="22"/>
        </w:rPr>
        <w:t>B.27</w:t>
      </w:r>
      <w:r>
        <w:rPr>
          <w:sz w:val="22"/>
          <w:szCs w:val="22"/>
        </w:rPr>
        <w:t xml:space="preserve"> of Permit No. 0850001-040-AV)</w:t>
      </w:r>
      <w:r w:rsidR="007277D4">
        <w:rPr>
          <w:sz w:val="22"/>
          <w:szCs w:val="22"/>
        </w:rPr>
        <w:t xml:space="preserve"> has been reorganized as follows:</w:t>
      </w:r>
      <w:bookmarkEnd w:id="27"/>
    </w:p>
    <w:p w:rsidR="00825B87" w:rsidRPr="007277D4" w:rsidRDefault="00825B87" w:rsidP="00B2321A">
      <w:pPr>
        <w:numPr>
          <w:ilvl w:val="0"/>
          <w:numId w:val="55"/>
        </w:numPr>
        <w:tabs>
          <w:tab w:val="left" w:pos="1080"/>
        </w:tabs>
        <w:spacing w:after="120"/>
        <w:rPr>
          <w:sz w:val="22"/>
          <w:szCs w:val="22"/>
        </w:rPr>
      </w:pPr>
      <w:r w:rsidRPr="007277D4">
        <w:rPr>
          <w:sz w:val="22"/>
          <w:szCs w:val="22"/>
          <w:u w:val="single"/>
        </w:rPr>
        <w:t>Test Methods</w:t>
      </w:r>
      <w:r w:rsidRPr="007277D4">
        <w:rPr>
          <w:sz w:val="22"/>
          <w:szCs w:val="22"/>
        </w:rPr>
        <w:t xml:space="preserve">.  </w:t>
      </w:r>
      <w:r w:rsidRPr="007277D4">
        <w:rPr>
          <w:sz w:val="22"/>
          <w:szCs w:val="22"/>
          <w:highlight w:val="yellow"/>
          <w:u w:val="double"/>
        </w:rPr>
        <w:t>When</w:t>
      </w:r>
      <w:r w:rsidRPr="007277D4">
        <w:rPr>
          <w:sz w:val="22"/>
          <w:szCs w:val="22"/>
        </w:rPr>
        <w:t xml:space="preserve"> </w:t>
      </w:r>
      <w:r w:rsidRPr="007277D4">
        <w:rPr>
          <w:strike/>
          <w:sz w:val="22"/>
          <w:szCs w:val="22"/>
          <w:highlight w:val="yellow"/>
        </w:rPr>
        <w:t>R</w:t>
      </w:r>
      <w:r w:rsidRPr="007277D4">
        <w:rPr>
          <w:sz w:val="22"/>
          <w:szCs w:val="22"/>
          <w:highlight w:val="yellow"/>
          <w:u w:val="double"/>
        </w:rPr>
        <w:t>r</w:t>
      </w:r>
      <w:r w:rsidRPr="007277D4">
        <w:rPr>
          <w:sz w:val="22"/>
          <w:szCs w:val="22"/>
        </w:rPr>
        <w:t>equired</w:t>
      </w:r>
      <w:r w:rsidRPr="007277D4">
        <w:rPr>
          <w:sz w:val="22"/>
          <w:szCs w:val="22"/>
          <w:highlight w:val="yellow"/>
          <w:u w:val="double"/>
        </w:rPr>
        <w:t>,</w:t>
      </w:r>
      <w:r w:rsidRPr="007277D4">
        <w:rPr>
          <w:sz w:val="22"/>
          <w:szCs w:val="22"/>
        </w:rPr>
        <w:t xml:space="preserve"> tests shall be performed in accordance with the following reference methods: </w:t>
      </w:r>
    </w:p>
    <w:tbl>
      <w:tblPr>
        <w:tblW w:w="9468" w:type="dxa"/>
        <w:tblInd w:w="70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25B87" w:rsidRPr="00B41709" w:rsidTr="007277D4">
        <w:trPr>
          <w:tblHeader/>
        </w:trPr>
        <w:tc>
          <w:tcPr>
            <w:tcW w:w="1224" w:type="dxa"/>
            <w:tcBorders>
              <w:top w:val="single" w:sz="12" w:space="0" w:color="auto"/>
              <w:left w:val="single" w:sz="12" w:space="0" w:color="auto"/>
              <w:bottom w:val="single" w:sz="12" w:space="0" w:color="auto"/>
            </w:tcBorders>
          </w:tcPr>
          <w:p w:rsidR="00825B87" w:rsidRPr="00B41709" w:rsidRDefault="00825B87" w:rsidP="00C23E02">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rsidR="00825B87" w:rsidRPr="00B41709" w:rsidRDefault="00825B87" w:rsidP="00C23E02">
            <w:pPr>
              <w:rPr>
                <w:b/>
              </w:rPr>
            </w:pPr>
            <w:r w:rsidRPr="00B41709">
              <w:rPr>
                <w:b/>
              </w:rPr>
              <w:t>Description of Method and Comments</w:t>
            </w:r>
          </w:p>
        </w:tc>
      </w:tr>
      <w:tr w:rsidR="00825B87" w:rsidRPr="006561AD" w:rsidTr="007277D4">
        <w:tc>
          <w:tcPr>
            <w:tcW w:w="1224" w:type="dxa"/>
            <w:tcBorders>
              <w:top w:val="single" w:sz="12" w:space="0" w:color="auto"/>
              <w:left w:val="single" w:sz="12" w:space="0" w:color="auto"/>
            </w:tcBorders>
          </w:tcPr>
          <w:p w:rsidR="00825B87" w:rsidRPr="003C078D" w:rsidRDefault="00825B87" w:rsidP="00C23E02">
            <w:pPr>
              <w:jc w:val="center"/>
            </w:pPr>
            <w:r w:rsidRPr="003C078D">
              <w:t>1-4</w:t>
            </w:r>
          </w:p>
        </w:tc>
        <w:tc>
          <w:tcPr>
            <w:tcW w:w="8244" w:type="dxa"/>
            <w:tcBorders>
              <w:top w:val="single" w:sz="12" w:space="0" w:color="auto"/>
              <w:right w:val="single" w:sz="12" w:space="0" w:color="auto"/>
            </w:tcBorders>
          </w:tcPr>
          <w:p w:rsidR="00825B87" w:rsidRPr="003C078D" w:rsidRDefault="00825B87" w:rsidP="00C23E02">
            <w:r w:rsidRPr="003C078D">
              <w:t>Traverse Points, Velocity and Flow Rate, Gas Analysis, and Moisture Content</w:t>
            </w:r>
          </w:p>
        </w:tc>
      </w:tr>
      <w:tr w:rsidR="00825B87" w:rsidRPr="006561AD" w:rsidTr="007277D4">
        <w:tc>
          <w:tcPr>
            <w:tcW w:w="1224" w:type="dxa"/>
            <w:tcBorders>
              <w:left w:val="single" w:sz="12" w:space="0" w:color="auto"/>
            </w:tcBorders>
          </w:tcPr>
          <w:p w:rsidR="00825B87" w:rsidRPr="006561AD" w:rsidRDefault="00825B87" w:rsidP="00C23E02">
            <w:pPr>
              <w:spacing w:before="40" w:after="40"/>
              <w:jc w:val="center"/>
              <w:rPr>
                <w:highlight w:val="yellow"/>
              </w:rPr>
            </w:pPr>
            <w:r w:rsidRPr="003C078D">
              <w:t>3</w:t>
            </w:r>
          </w:p>
        </w:tc>
        <w:tc>
          <w:tcPr>
            <w:tcW w:w="8244" w:type="dxa"/>
            <w:tcBorders>
              <w:right w:val="single" w:sz="12" w:space="0" w:color="auto"/>
            </w:tcBorders>
          </w:tcPr>
          <w:p w:rsidR="00825B87" w:rsidRPr="006561AD" w:rsidRDefault="00825B87" w:rsidP="00C23E02">
            <w:pPr>
              <w:spacing w:before="40" w:after="40"/>
              <w:jc w:val="both"/>
              <w:rPr>
                <w:highlight w:val="yellow"/>
              </w:rPr>
            </w:pPr>
            <w:r w:rsidRPr="00C16FF6">
              <w:rPr>
                <w:bCs/>
                <w:szCs w:val="22"/>
              </w:rPr>
              <w:t>Determination of Oxygen and Carbon Dioxide Concentrations in Emissions from Stationary Sources</w:t>
            </w:r>
          </w:p>
        </w:tc>
      </w:tr>
      <w:tr w:rsidR="00825B87" w:rsidRPr="006561AD" w:rsidTr="007277D4">
        <w:tc>
          <w:tcPr>
            <w:tcW w:w="1224" w:type="dxa"/>
            <w:tcBorders>
              <w:left w:val="single" w:sz="12" w:space="0" w:color="auto"/>
            </w:tcBorders>
          </w:tcPr>
          <w:p w:rsidR="00825B87" w:rsidRPr="006561AD" w:rsidRDefault="00825B87" w:rsidP="00C23E02">
            <w:pPr>
              <w:jc w:val="center"/>
              <w:rPr>
                <w:highlight w:val="yellow"/>
              </w:rPr>
            </w:pPr>
            <w:r w:rsidRPr="003C078D">
              <w:t>5 or 17</w:t>
            </w:r>
          </w:p>
        </w:tc>
        <w:tc>
          <w:tcPr>
            <w:tcW w:w="8244" w:type="dxa"/>
            <w:tcBorders>
              <w:right w:val="single" w:sz="12" w:space="0" w:color="auto"/>
            </w:tcBorders>
          </w:tcPr>
          <w:p w:rsidR="00825B87" w:rsidRPr="009D1D5A" w:rsidRDefault="00825B87" w:rsidP="00C23E02">
            <w:r w:rsidRPr="009D1D5A">
              <w:t>Method for Determining Particulate Matter Emissions (All PM is assumed to be PM</w:t>
            </w:r>
            <w:r w:rsidRPr="009D1D5A">
              <w:rPr>
                <w:vertAlign w:val="subscript"/>
              </w:rPr>
              <w:t>10</w:t>
            </w:r>
            <w:r w:rsidRPr="009D1D5A">
              <w:t>.)</w:t>
            </w:r>
          </w:p>
        </w:tc>
      </w:tr>
      <w:tr w:rsidR="00825B87" w:rsidRPr="006561AD" w:rsidTr="007277D4">
        <w:tc>
          <w:tcPr>
            <w:tcW w:w="1224" w:type="dxa"/>
            <w:tcBorders>
              <w:left w:val="single" w:sz="12" w:space="0" w:color="auto"/>
            </w:tcBorders>
          </w:tcPr>
          <w:p w:rsidR="00825B87" w:rsidRPr="003C078D" w:rsidRDefault="00825B87" w:rsidP="00C23E02">
            <w:pPr>
              <w:jc w:val="center"/>
            </w:pPr>
            <w:r w:rsidRPr="003C078D">
              <w:t>7E</w:t>
            </w:r>
          </w:p>
        </w:tc>
        <w:tc>
          <w:tcPr>
            <w:tcW w:w="8244" w:type="dxa"/>
            <w:tcBorders>
              <w:right w:val="single" w:sz="12" w:space="0" w:color="auto"/>
            </w:tcBorders>
          </w:tcPr>
          <w:p w:rsidR="00825B87" w:rsidRPr="003C078D" w:rsidRDefault="00825B87" w:rsidP="00C23E02">
            <w:r w:rsidRPr="003C078D">
              <w:t>Determination of Nitrogen Oxide Emissions from Stationary Sources</w:t>
            </w:r>
          </w:p>
        </w:tc>
      </w:tr>
      <w:tr w:rsidR="00825B87" w:rsidRPr="006561AD" w:rsidTr="007277D4">
        <w:tc>
          <w:tcPr>
            <w:tcW w:w="1224" w:type="dxa"/>
            <w:tcBorders>
              <w:left w:val="single" w:sz="12" w:space="0" w:color="auto"/>
            </w:tcBorders>
          </w:tcPr>
          <w:p w:rsidR="00825B87" w:rsidRPr="003C078D" w:rsidRDefault="00825B87" w:rsidP="00C23E02">
            <w:pPr>
              <w:jc w:val="center"/>
            </w:pPr>
            <w:r w:rsidRPr="003C078D">
              <w:t>9</w:t>
            </w:r>
          </w:p>
        </w:tc>
        <w:tc>
          <w:tcPr>
            <w:tcW w:w="8244" w:type="dxa"/>
            <w:tcBorders>
              <w:right w:val="single" w:sz="12" w:space="0" w:color="auto"/>
            </w:tcBorders>
          </w:tcPr>
          <w:p w:rsidR="00825B87" w:rsidRPr="003C078D" w:rsidRDefault="00825B87" w:rsidP="00C23E02">
            <w:r w:rsidRPr="003C078D">
              <w:t>Visual Determination of the Opacity of Emissions from Stationary Sources</w:t>
            </w:r>
          </w:p>
        </w:tc>
      </w:tr>
      <w:tr w:rsidR="00825B87" w:rsidRPr="006561AD" w:rsidTr="007277D4">
        <w:tc>
          <w:tcPr>
            <w:tcW w:w="1224" w:type="dxa"/>
            <w:tcBorders>
              <w:left w:val="single" w:sz="12" w:space="0" w:color="auto"/>
              <w:bottom w:val="single" w:sz="4" w:space="0" w:color="auto"/>
            </w:tcBorders>
          </w:tcPr>
          <w:p w:rsidR="00825B87" w:rsidRPr="003C078D" w:rsidRDefault="00825B87" w:rsidP="00C23E02">
            <w:pPr>
              <w:jc w:val="center"/>
            </w:pPr>
            <w:r w:rsidRPr="003C078D">
              <w:t>10</w:t>
            </w:r>
          </w:p>
        </w:tc>
        <w:tc>
          <w:tcPr>
            <w:tcW w:w="8244" w:type="dxa"/>
            <w:tcBorders>
              <w:bottom w:val="single" w:sz="4" w:space="0" w:color="auto"/>
              <w:right w:val="single" w:sz="12" w:space="0" w:color="auto"/>
            </w:tcBorders>
          </w:tcPr>
          <w:p w:rsidR="00825B87" w:rsidRPr="003C078D" w:rsidRDefault="00825B87" w:rsidP="00C23E02">
            <w:r w:rsidRPr="003C078D">
              <w:t>Determination of Carbon Monoxide Emissions from Stationary Sources</w:t>
            </w:r>
          </w:p>
          <w:p w:rsidR="00825B87" w:rsidRPr="003C078D" w:rsidRDefault="00825B87" w:rsidP="00C23E02">
            <w:r w:rsidRPr="003C078D">
              <w:t>{Note:  The method shall be based on a continuous sampling train.}</w:t>
            </w:r>
          </w:p>
        </w:tc>
      </w:tr>
      <w:tr w:rsidR="00825B87" w:rsidRPr="006561AD" w:rsidTr="007277D4">
        <w:trPr>
          <w:trHeight w:val="154"/>
        </w:trPr>
        <w:tc>
          <w:tcPr>
            <w:tcW w:w="1224" w:type="dxa"/>
            <w:tcBorders>
              <w:top w:val="single" w:sz="4" w:space="0" w:color="auto"/>
              <w:left w:val="single" w:sz="12" w:space="0" w:color="auto"/>
              <w:bottom w:val="single" w:sz="12" w:space="0" w:color="auto"/>
            </w:tcBorders>
          </w:tcPr>
          <w:p w:rsidR="00825B87" w:rsidRPr="003C078D" w:rsidRDefault="00825B87" w:rsidP="00C23E02">
            <w:pPr>
              <w:spacing w:before="40" w:after="40"/>
              <w:jc w:val="center"/>
            </w:pPr>
            <w:r w:rsidRPr="003C078D">
              <w:t>20</w:t>
            </w:r>
          </w:p>
        </w:tc>
        <w:tc>
          <w:tcPr>
            <w:tcW w:w="8244" w:type="dxa"/>
            <w:tcBorders>
              <w:top w:val="single" w:sz="4" w:space="0" w:color="auto"/>
              <w:bottom w:val="single" w:sz="12" w:space="0" w:color="auto"/>
              <w:right w:val="single" w:sz="12" w:space="0" w:color="auto"/>
            </w:tcBorders>
          </w:tcPr>
          <w:p w:rsidR="00825B87" w:rsidRPr="003C078D" w:rsidRDefault="00825B87" w:rsidP="00C23E02">
            <w:pPr>
              <w:autoSpaceDE w:val="0"/>
              <w:autoSpaceDN w:val="0"/>
              <w:adjustRightInd w:val="0"/>
            </w:pPr>
            <w:r w:rsidRPr="003C078D">
              <w:rPr>
                <w:bCs/>
              </w:rPr>
              <w:t>Determination of Nitrogen Oxides, Sulfur Dioxide and Diluent Emissions from Stationary Gas Turbines</w:t>
            </w:r>
          </w:p>
        </w:tc>
      </w:tr>
    </w:tbl>
    <w:p w:rsidR="00825B87" w:rsidRPr="007277D4" w:rsidRDefault="00825B87" w:rsidP="007277D4">
      <w:pPr>
        <w:tabs>
          <w:tab w:val="left" w:pos="-1440"/>
          <w:tab w:val="left" w:pos="-720"/>
          <w:tab w:val="left" w:pos="1080"/>
        </w:tabs>
        <w:spacing w:after="120"/>
        <w:ind w:left="720"/>
        <w:rPr>
          <w:sz w:val="22"/>
          <w:szCs w:val="22"/>
        </w:rPr>
      </w:pPr>
      <w:r w:rsidRPr="007277D4">
        <w:rPr>
          <w:sz w:val="22"/>
          <w:szCs w:val="22"/>
        </w:rPr>
        <w:tab/>
        <w:t xml:space="preserve">The above methods are described in 40 CFR 60, Appendix A, and adopted by reference in Rule 62-204.800, F.A.C.  No other methods may be used unless prior written approval is received from the Department.  The stack test for each turbine shall be performed within 10% of the maximum heat rate input for the tested operating temperature.  See Specific Condition </w:t>
      </w:r>
      <w:r w:rsidR="007277D4">
        <w:rPr>
          <w:b/>
          <w:sz w:val="22"/>
          <w:szCs w:val="22"/>
        </w:rPr>
        <w:t>B.2</w:t>
      </w:r>
      <w:r w:rsidRPr="007277D4">
        <w:rPr>
          <w:sz w:val="22"/>
          <w:szCs w:val="22"/>
        </w:rPr>
        <w:t xml:space="preserve"> for utilization of ambient temperature versus heat input curves during compliance testing.  </w:t>
      </w:r>
      <w:r w:rsidRPr="007277D4">
        <w:rPr>
          <w:sz w:val="22"/>
          <w:szCs w:val="22"/>
          <w:highlight w:val="yellow"/>
          <w:u w:val="double"/>
        </w:rPr>
        <w:t>[Rule 62-204.800, F.A.C.; and, Permit No. 0850001-032-AC/PSD-FL-327B &amp; 146C]</w:t>
      </w:r>
    </w:p>
    <w:p w:rsidR="00825B87" w:rsidRPr="007277D4" w:rsidRDefault="00825B87" w:rsidP="007277D4">
      <w:pPr>
        <w:tabs>
          <w:tab w:val="left" w:pos="-1440"/>
          <w:tab w:val="left" w:pos="-720"/>
        </w:tabs>
        <w:spacing w:after="120"/>
        <w:ind w:left="720"/>
        <w:rPr>
          <w:strike/>
          <w:sz w:val="22"/>
          <w:szCs w:val="22"/>
          <w:highlight w:val="yellow"/>
        </w:rPr>
      </w:pPr>
      <w:r w:rsidRPr="007277D4">
        <w:rPr>
          <w:strike/>
          <w:sz w:val="22"/>
          <w:szCs w:val="22"/>
          <w:highlight w:val="yellow"/>
        </w:rPr>
        <w:t>Unless specifically exempted per Florida Rule 62-297, F.A.C., annual compliance tests shall be conducted for each CT to demonstrate compliance with the permitted emissions standards for normal gas firing, gas firing with power augmentation, and backup distillate oil firing.  CO and NO</w:t>
      </w:r>
      <w:r w:rsidRPr="007277D4">
        <w:rPr>
          <w:strike/>
          <w:sz w:val="22"/>
          <w:szCs w:val="22"/>
          <w:highlight w:val="yellow"/>
          <w:vertAlign w:val="subscript"/>
        </w:rPr>
        <w:t>X</w:t>
      </w:r>
      <w:r w:rsidRPr="007277D4">
        <w:rPr>
          <w:strike/>
          <w:sz w:val="22"/>
          <w:szCs w:val="22"/>
          <w:highlight w:val="yellow"/>
        </w:rPr>
        <w:t xml:space="preserve"> performance tests shall be conducted concurrently.  If conducted at permitted capacity, NO</w:t>
      </w:r>
      <w:r w:rsidRPr="007277D4">
        <w:rPr>
          <w:strike/>
          <w:sz w:val="22"/>
          <w:szCs w:val="22"/>
          <w:highlight w:val="yellow"/>
          <w:vertAlign w:val="subscript"/>
        </w:rPr>
        <w:t>X</w:t>
      </w:r>
      <w:r w:rsidRPr="007277D4">
        <w:rPr>
          <w:strike/>
          <w:sz w:val="22"/>
          <w:szCs w:val="22"/>
          <w:highlight w:val="yellow"/>
        </w:rPr>
        <w:t xml:space="preserve"> emissions data collected during the annual NO</w:t>
      </w:r>
      <w:r w:rsidRPr="007277D4">
        <w:rPr>
          <w:strike/>
          <w:sz w:val="22"/>
          <w:szCs w:val="22"/>
          <w:highlight w:val="yellow"/>
          <w:vertAlign w:val="subscript"/>
        </w:rPr>
        <w:t>X</w:t>
      </w:r>
      <w:r w:rsidRPr="007277D4">
        <w:rPr>
          <w:strike/>
          <w:sz w:val="22"/>
          <w:szCs w:val="22"/>
          <w:highlight w:val="yellow"/>
        </w:rPr>
        <w:t xml:space="preserve"> continuous monitor Relative Accuracy Test Assessments (RATA) required pursuant to 40 CFR 75 may be substituted for the required annual performance test.  Tests required on an annual basis shall be conducted at least once during each calendar year (January 1</w:t>
      </w:r>
      <w:r w:rsidRPr="007277D4">
        <w:rPr>
          <w:strike/>
          <w:sz w:val="22"/>
          <w:szCs w:val="22"/>
          <w:highlight w:val="yellow"/>
          <w:vertAlign w:val="superscript"/>
        </w:rPr>
        <w:t>st</w:t>
      </w:r>
      <w:r w:rsidRPr="007277D4">
        <w:rPr>
          <w:strike/>
          <w:sz w:val="22"/>
          <w:szCs w:val="22"/>
          <w:highlight w:val="yellow"/>
        </w:rPr>
        <w:t xml:space="preserve"> to December 31</w:t>
      </w:r>
      <w:r w:rsidRPr="007277D4">
        <w:rPr>
          <w:strike/>
          <w:sz w:val="22"/>
          <w:szCs w:val="22"/>
          <w:highlight w:val="yellow"/>
          <w:vertAlign w:val="superscript"/>
        </w:rPr>
        <w:t>st</w:t>
      </w:r>
      <w:r w:rsidRPr="007277D4">
        <w:rPr>
          <w:strike/>
          <w:sz w:val="22"/>
          <w:szCs w:val="22"/>
          <w:highlight w:val="yellow"/>
        </w:rPr>
        <w:t>).</w:t>
      </w:r>
    </w:p>
    <w:p w:rsidR="00825B87" w:rsidRPr="007277D4" w:rsidRDefault="00825B87" w:rsidP="007277D4">
      <w:pPr>
        <w:tabs>
          <w:tab w:val="left" w:pos="-1440"/>
          <w:tab w:val="left" w:pos="-720"/>
        </w:tabs>
        <w:spacing w:after="120"/>
        <w:ind w:left="720"/>
        <w:rPr>
          <w:strike/>
          <w:sz w:val="22"/>
          <w:szCs w:val="22"/>
          <w:highlight w:val="yellow"/>
        </w:rPr>
      </w:pPr>
      <w:r w:rsidRPr="007277D4">
        <w:rPr>
          <w:strike/>
          <w:sz w:val="22"/>
          <w:szCs w:val="22"/>
          <w:highlight w:val="yellow"/>
        </w:rPr>
        <w:t>For each CT that fires distillate oil for less than 400 hours during the previous calendar year, the annual performance tests when firing distillate oil for the current calendar year of operation are not required.  CT’s firing more than 400 hours on oil will also be required to demonstrate compliance with PM standards.</w:t>
      </w:r>
    </w:p>
    <w:p w:rsidR="00825B87" w:rsidRDefault="00825B87" w:rsidP="007277D4">
      <w:pPr>
        <w:tabs>
          <w:tab w:val="left" w:pos="360"/>
        </w:tabs>
        <w:spacing w:after="120"/>
        <w:ind w:left="720"/>
        <w:rPr>
          <w:strike/>
          <w:sz w:val="22"/>
          <w:szCs w:val="22"/>
          <w:highlight w:val="yellow"/>
        </w:rPr>
      </w:pPr>
      <w:r w:rsidRPr="007277D4">
        <w:rPr>
          <w:strike/>
          <w:sz w:val="22"/>
          <w:szCs w:val="22"/>
          <w:highlight w:val="yellow"/>
        </w:rPr>
        <w:t xml:space="preserve">For each CT that operates with power augmentation for less than 400 hours during the previous calendar year, the annual performance tests when operating with power augmentation for the current calendar year of operation are not required.  During power augmentation each unit shall comply with the emissions limits stated in Specific Condition </w:t>
      </w:r>
      <w:r w:rsidR="007277D4">
        <w:rPr>
          <w:b/>
          <w:strike/>
          <w:sz w:val="22"/>
          <w:szCs w:val="22"/>
          <w:highlight w:val="yellow"/>
        </w:rPr>
        <w:t>B.9</w:t>
      </w:r>
      <w:r w:rsidRPr="007277D4">
        <w:rPr>
          <w:strike/>
          <w:sz w:val="22"/>
          <w:szCs w:val="22"/>
          <w:highlight w:val="yellow"/>
        </w:rPr>
        <w:t>.</w:t>
      </w:r>
    </w:p>
    <w:p w:rsidR="007277D4" w:rsidRPr="007277D4" w:rsidRDefault="007277D4" w:rsidP="007277D4">
      <w:pPr>
        <w:tabs>
          <w:tab w:val="left" w:pos="-1440"/>
          <w:tab w:val="left" w:pos="-720"/>
        </w:tabs>
        <w:spacing w:after="120"/>
        <w:ind w:left="720"/>
        <w:rPr>
          <w:strike/>
          <w:sz w:val="22"/>
          <w:u w:val="single"/>
        </w:rPr>
      </w:pPr>
      <w:r w:rsidRPr="007277D4">
        <w:rPr>
          <w:strike/>
          <w:sz w:val="22"/>
          <w:szCs w:val="22"/>
          <w:highlight w:val="yellow"/>
        </w:rPr>
        <w:t>[Rules 62-204.800 &amp; 62-297.310(7)(a)4., F.A.C.; 40 CFR 60, Appendix A; and, Permit Nos. PSD-FL-146, Specific Condition No. 10 &amp; 0850001-016-AC(PSD-FL-327B and PSD-FL-146C)]</w:t>
      </w:r>
    </w:p>
    <w:p w:rsidR="007277D4" w:rsidRPr="00B2321A" w:rsidRDefault="007277D4" w:rsidP="007277D4">
      <w:pPr>
        <w:pStyle w:val="ListParagraph"/>
        <w:numPr>
          <w:ilvl w:val="0"/>
          <w:numId w:val="1"/>
        </w:numPr>
        <w:tabs>
          <w:tab w:val="left" w:pos="360"/>
        </w:tabs>
        <w:spacing w:after="120"/>
        <w:contextualSpacing w:val="0"/>
        <w:rPr>
          <w:sz w:val="22"/>
          <w:szCs w:val="22"/>
        </w:rPr>
      </w:pPr>
      <w:r w:rsidRPr="00B2321A">
        <w:rPr>
          <w:sz w:val="22"/>
          <w:szCs w:val="22"/>
        </w:rPr>
        <w:t xml:space="preserve">Language removed from Specific Condition </w:t>
      </w:r>
      <w:r w:rsidRPr="00B2321A">
        <w:rPr>
          <w:b/>
          <w:sz w:val="22"/>
          <w:szCs w:val="22"/>
        </w:rPr>
        <w:t>B.39</w:t>
      </w:r>
      <w:r w:rsidRPr="00B2321A">
        <w:rPr>
          <w:sz w:val="22"/>
          <w:szCs w:val="22"/>
        </w:rPr>
        <w:t xml:space="preserve"> (see item </w:t>
      </w:r>
      <w:r w:rsidRPr="00B2321A">
        <w:rPr>
          <w:b/>
          <w:sz w:val="22"/>
          <w:szCs w:val="22"/>
        </w:rPr>
        <w:fldChar w:fldCharType="begin"/>
      </w:r>
      <w:r w:rsidRPr="00B2321A">
        <w:rPr>
          <w:b/>
          <w:sz w:val="22"/>
          <w:szCs w:val="22"/>
        </w:rPr>
        <w:instrText xml:space="preserve"> REF _Ref520375301 \r \h  \* MERGEFORMAT </w:instrText>
      </w:r>
      <w:r w:rsidRPr="00B2321A">
        <w:rPr>
          <w:b/>
          <w:sz w:val="22"/>
          <w:szCs w:val="22"/>
        </w:rPr>
      </w:r>
      <w:r w:rsidRPr="00B2321A">
        <w:rPr>
          <w:b/>
          <w:sz w:val="22"/>
          <w:szCs w:val="22"/>
        </w:rPr>
        <w:fldChar w:fldCharType="separate"/>
      </w:r>
      <w:r w:rsidR="00C76A61">
        <w:rPr>
          <w:b/>
          <w:sz w:val="22"/>
          <w:szCs w:val="22"/>
        </w:rPr>
        <w:t>57</w:t>
      </w:r>
      <w:r w:rsidRPr="00B2321A">
        <w:rPr>
          <w:b/>
          <w:sz w:val="22"/>
          <w:szCs w:val="22"/>
        </w:rPr>
        <w:fldChar w:fldCharType="end"/>
      </w:r>
      <w:r w:rsidRPr="00B2321A">
        <w:rPr>
          <w:sz w:val="22"/>
          <w:szCs w:val="22"/>
        </w:rPr>
        <w:t xml:space="preserve">) has been added to Specific Condition </w:t>
      </w:r>
      <w:r w:rsidRPr="00B2321A">
        <w:rPr>
          <w:b/>
          <w:sz w:val="22"/>
          <w:szCs w:val="22"/>
        </w:rPr>
        <w:t>B.40</w:t>
      </w:r>
      <w:r w:rsidRPr="00B2321A">
        <w:rPr>
          <w:sz w:val="22"/>
          <w:szCs w:val="22"/>
        </w:rPr>
        <w:t xml:space="preserve"> (formerly </w:t>
      </w:r>
      <w:r w:rsidRPr="00B2321A">
        <w:rPr>
          <w:b/>
          <w:sz w:val="22"/>
          <w:szCs w:val="22"/>
        </w:rPr>
        <w:t>B.28</w:t>
      </w:r>
      <w:r w:rsidRPr="00B2321A">
        <w:rPr>
          <w:sz w:val="22"/>
          <w:szCs w:val="22"/>
        </w:rPr>
        <w:t xml:space="preserve"> of Permit No. 0850001-040-AV), which has been revised as follows:</w:t>
      </w:r>
    </w:p>
    <w:p w:rsidR="007277D4" w:rsidRPr="00B2321A" w:rsidRDefault="007277D4" w:rsidP="00B2321A">
      <w:pPr>
        <w:numPr>
          <w:ilvl w:val="0"/>
          <w:numId w:val="55"/>
        </w:numPr>
        <w:tabs>
          <w:tab w:val="left" w:pos="1080"/>
        </w:tabs>
        <w:spacing w:after="120"/>
        <w:rPr>
          <w:sz w:val="22"/>
          <w:szCs w:val="22"/>
        </w:rPr>
      </w:pPr>
      <w:r w:rsidRPr="00B2321A">
        <w:rPr>
          <w:sz w:val="22"/>
          <w:szCs w:val="22"/>
          <w:u w:val="single"/>
        </w:rPr>
        <w:t>Annual</w:t>
      </w:r>
      <w:r w:rsidRPr="00B2321A">
        <w:rPr>
          <w:b/>
          <w:sz w:val="22"/>
          <w:szCs w:val="22"/>
          <w:u w:val="single"/>
        </w:rPr>
        <w:t xml:space="preserve"> </w:t>
      </w:r>
      <w:r w:rsidRPr="00B2321A">
        <w:rPr>
          <w:sz w:val="22"/>
          <w:szCs w:val="22"/>
          <w:u w:val="single"/>
        </w:rPr>
        <w:t>Compliance Tests Required</w:t>
      </w:r>
      <w:r w:rsidRPr="00B2321A">
        <w:rPr>
          <w:sz w:val="22"/>
          <w:szCs w:val="22"/>
        </w:rPr>
        <w:t xml:space="preserve">.  </w:t>
      </w:r>
      <w:r w:rsidRPr="00B2321A">
        <w:rPr>
          <w:sz w:val="22"/>
          <w:szCs w:val="22"/>
          <w:highlight w:val="yellow"/>
          <w:u w:val="double"/>
        </w:rPr>
        <w:t xml:space="preserve">Unless exempted by Chapter 62-297, F.A.C. or Specific Condition </w:t>
      </w:r>
      <w:r w:rsidRPr="00B2321A">
        <w:rPr>
          <w:b/>
          <w:sz w:val="22"/>
          <w:szCs w:val="22"/>
          <w:highlight w:val="yellow"/>
          <w:u w:val="double"/>
        </w:rPr>
        <w:t>B.41</w:t>
      </w:r>
      <w:r w:rsidRPr="00B2321A">
        <w:rPr>
          <w:sz w:val="22"/>
          <w:szCs w:val="22"/>
          <w:highlight w:val="yellow"/>
          <w:u w:val="double"/>
        </w:rPr>
        <w:t>,</w:t>
      </w:r>
      <w:r w:rsidRPr="00B2321A">
        <w:rPr>
          <w:sz w:val="22"/>
          <w:szCs w:val="22"/>
        </w:rPr>
        <w:t xml:space="preserve"> </w:t>
      </w:r>
      <w:r w:rsidRPr="00B2321A">
        <w:rPr>
          <w:strike/>
          <w:sz w:val="22"/>
          <w:szCs w:val="22"/>
          <w:highlight w:val="yellow"/>
        </w:rPr>
        <w:t>D</w:t>
      </w:r>
      <w:r w:rsidRPr="00B2321A">
        <w:rPr>
          <w:sz w:val="22"/>
          <w:szCs w:val="22"/>
          <w:highlight w:val="yellow"/>
          <w:u w:val="double"/>
        </w:rPr>
        <w:t>d</w:t>
      </w:r>
      <w:r w:rsidRPr="00B2321A">
        <w:rPr>
          <w:sz w:val="22"/>
          <w:szCs w:val="22"/>
        </w:rPr>
        <w:t xml:space="preserve">uring each calendar year (January 1st to December 31st), each CT shall be tested to demonstrate compliance with the emissions standards for PM </w:t>
      </w:r>
      <w:r w:rsidRPr="00B2321A">
        <w:rPr>
          <w:sz w:val="22"/>
          <w:szCs w:val="22"/>
          <w:highlight w:val="yellow"/>
          <w:u w:val="double"/>
        </w:rPr>
        <w:t>(only while firing oil),</w:t>
      </w:r>
      <w:r w:rsidRPr="00B2321A">
        <w:rPr>
          <w:sz w:val="22"/>
          <w:szCs w:val="22"/>
        </w:rPr>
        <w:t xml:space="preserve"> </w:t>
      </w:r>
      <w:r w:rsidRPr="00B2321A">
        <w:rPr>
          <w:caps/>
          <w:sz w:val="22"/>
          <w:szCs w:val="22"/>
        </w:rPr>
        <w:t>VE, CO</w:t>
      </w:r>
      <w:r w:rsidRPr="00B2321A">
        <w:rPr>
          <w:caps/>
          <w:strike/>
          <w:sz w:val="22"/>
          <w:szCs w:val="22"/>
          <w:highlight w:val="yellow"/>
        </w:rPr>
        <w:t>,</w:t>
      </w:r>
      <w:r w:rsidRPr="00B2321A">
        <w:rPr>
          <w:caps/>
          <w:sz w:val="22"/>
          <w:szCs w:val="22"/>
        </w:rPr>
        <w:t xml:space="preserve"> </w:t>
      </w:r>
      <w:r w:rsidRPr="00B2321A">
        <w:rPr>
          <w:sz w:val="22"/>
          <w:szCs w:val="22"/>
          <w:highlight w:val="yellow"/>
          <w:u w:val="double"/>
        </w:rPr>
        <w:t>and</w:t>
      </w:r>
      <w:r w:rsidRPr="00B2321A">
        <w:rPr>
          <w:caps/>
          <w:sz w:val="22"/>
          <w:szCs w:val="22"/>
        </w:rPr>
        <w:t xml:space="preserve"> NO</w:t>
      </w:r>
      <w:r w:rsidRPr="00B2321A">
        <w:rPr>
          <w:caps/>
          <w:sz w:val="22"/>
          <w:szCs w:val="22"/>
          <w:vertAlign w:val="subscript"/>
        </w:rPr>
        <w:t>X</w:t>
      </w:r>
      <w:r w:rsidRPr="00B2321A">
        <w:rPr>
          <w:sz w:val="22"/>
          <w:szCs w:val="22"/>
        </w:rPr>
        <w:t xml:space="preserve"> </w:t>
      </w:r>
      <w:r w:rsidRPr="00B2321A">
        <w:rPr>
          <w:strike/>
          <w:sz w:val="22"/>
          <w:szCs w:val="22"/>
          <w:highlight w:val="yellow"/>
        </w:rPr>
        <w:t>and PM</w:t>
      </w:r>
      <w:r w:rsidRPr="00B2321A">
        <w:rPr>
          <w:sz w:val="22"/>
          <w:szCs w:val="22"/>
        </w:rPr>
        <w:t xml:space="preserve"> </w:t>
      </w:r>
      <w:r w:rsidRPr="00B2321A">
        <w:rPr>
          <w:sz w:val="22"/>
          <w:szCs w:val="22"/>
          <w:highlight w:val="yellow"/>
          <w:u w:val="double"/>
        </w:rPr>
        <w:t>for normal gas firing, gas firing with power augmentation and backup distillate oil firing</w:t>
      </w:r>
      <w:r w:rsidRPr="00B2321A">
        <w:rPr>
          <w:sz w:val="22"/>
          <w:szCs w:val="22"/>
        </w:rPr>
        <w:t xml:space="preserve"> </w:t>
      </w:r>
      <w:r w:rsidRPr="00B2321A">
        <w:rPr>
          <w:strike/>
          <w:sz w:val="22"/>
          <w:szCs w:val="22"/>
          <w:highlight w:val="yellow"/>
        </w:rPr>
        <w:t>(for oil only) with the fuel(s) used for more than 400 hours in the preceding 12-month period.  No other test methods may be used for compliance testing unless prior DEP approval is received in writing.  VOC testing is only required if the annual CO test indicates an exceedance of the CO standard</w:t>
      </w:r>
      <w:r w:rsidRPr="00B2321A">
        <w:rPr>
          <w:sz w:val="22"/>
          <w:szCs w:val="22"/>
        </w:rPr>
        <w:t xml:space="preserve">.  </w:t>
      </w:r>
      <w:r w:rsidRPr="00B2321A">
        <w:rPr>
          <w:sz w:val="22"/>
          <w:szCs w:val="22"/>
          <w:highlight w:val="yellow"/>
          <w:u w:val="double"/>
        </w:rPr>
        <w:t>CO and NO</w:t>
      </w:r>
      <w:r w:rsidRPr="00B2321A">
        <w:rPr>
          <w:sz w:val="22"/>
          <w:szCs w:val="22"/>
          <w:highlight w:val="yellow"/>
          <w:u w:val="double"/>
          <w:vertAlign w:val="subscript"/>
        </w:rPr>
        <w:t>X</w:t>
      </w:r>
      <w:r w:rsidRPr="00B2321A">
        <w:rPr>
          <w:sz w:val="22"/>
          <w:szCs w:val="22"/>
          <w:highlight w:val="yellow"/>
          <w:u w:val="double"/>
        </w:rPr>
        <w:t xml:space="preserve"> compliance tests shall be conducted concurrently.  If conducted at permitted capacity, NO</w:t>
      </w:r>
      <w:r w:rsidRPr="00B2321A">
        <w:rPr>
          <w:sz w:val="22"/>
          <w:szCs w:val="22"/>
          <w:highlight w:val="yellow"/>
          <w:u w:val="double"/>
          <w:vertAlign w:val="subscript"/>
        </w:rPr>
        <w:t>X</w:t>
      </w:r>
      <w:r w:rsidRPr="00B2321A">
        <w:rPr>
          <w:sz w:val="22"/>
          <w:szCs w:val="22"/>
          <w:highlight w:val="yellow"/>
          <w:u w:val="double"/>
        </w:rPr>
        <w:t xml:space="preserve"> emissions data collected during the annual NO</w:t>
      </w:r>
      <w:r w:rsidRPr="00B2321A">
        <w:rPr>
          <w:sz w:val="22"/>
          <w:szCs w:val="22"/>
          <w:highlight w:val="yellow"/>
          <w:u w:val="double"/>
          <w:vertAlign w:val="subscript"/>
        </w:rPr>
        <w:t>X</w:t>
      </w:r>
      <w:r w:rsidRPr="00B2321A">
        <w:rPr>
          <w:sz w:val="22"/>
          <w:szCs w:val="22"/>
          <w:highlight w:val="yellow"/>
          <w:u w:val="double"/>
        </w:rPr>
        <w:t xml:space="preserve"> CEMS Relative Accuracy Test Audit (RATA), required pursuant to 40 CFR 75, may be substituted for the required annual compliance test. </w:t>
      </w:r>
      <w:r w:rsidRPr="00B2321A">
        <w:rPr>
          <w:sz w:val="22"/>
          <w:szCs w:val="22"/>
        </w:rPr>
        <w:t xml:space="preserve"> [Rule</w:t>
      </w:r>
      <w:r w:rsidRPr="00B2321A">
        <w:rPr>
          <w:strike/>
          <w:sz w:val="22"/>
          <w:szCs w:val="22"/>
          <w:highlight w:val="yellow"/>
        </w:rPr>
        <w:t>s 62-212.400(BACT) &amp;</w:t>
      </w:r>
      <w:r w:rsidRPr="00B2321A">
        <w:rPr>
          <w:sz w:val="22"/>
          <w:szCs w:val="22"/>
        </w:rPr>
        <w:t xml:space="preserve"> 62-297.310(</w:t>
      </w:r>
      <w:r w:rsidRPr="00B2321A">
        <w:rPr>
          <w:strike/>
          <w:sz w:val="22"/>
          <w:szCs w:val="22"/>
          <w:highlight w:val="yellow"/>
        </w:rPr>
        <w:t>7</w:t>
      </w:r>
      <w:r w:rsidRPr="00B2321A">
        <w:rPr>
          <w:sz w:val="22"/>
          <w:szCs w:val="22"/>
          <w:highlight w:val="yellow"/>
          <w:u w:val="double"/>
        </w:rPr>
        <w:t>8</w:t>
      </w:r>
      <w:r w:rsidRPr="00B2321A">
        <w:rPr>
          <w:sz w:val="22"/>
          <w:szCs w:val="22"/>
        </w:rPr>
        <w:t>), F.A.C., and, Permit No</w:t>
      </w:r>
      <w:r w:rsidRPr="00B2321A">
        <w:rPr>
          <w:strike/>
          <w:sz w:val="22"/>
          <w:szCs w:val="22"/>
          <w:highlight w:val="yellow"/>
        </w:rPr>
        <w:t>s</w:t>
      </w:r>
      <w:r w:rsidRPr="00B2321A">
        <w:rPr>
          <w:sz w:val="22"/>
          <w:szCs w:val="22"/>
        </w:rPr>
        <w:t xml:space="preserve">. </w:t>
      </w:r>
      <w:r w:rsidRPr="00B2321A">
        <w:rPr>
          <w:strike/>
          <w:sz w:val="22"/>
          <w:szCs w:val="22"/>
          <w:highlight w:val="yellow"/>
        </w:rPr>
        <w:t>PSD-FL-146, Specific Condition 10 &amp; 0850001-032-AC/(PSD-FL-146H / PSD-FL-327F)</w:t>
      </w:r>
      <w:r w:rsidRPr="00B2321A">
        <w:rPr>
          <w:sz w:val="22"/>
          <w:szCs w:val="22"/>
        </w:rPr>
        <w:t xml:space="preserve"> </w:t>
      </w:r>
      <w:r w:rsidRPr="00B2321A">
        <w:rPr>
          <w:sz w:val="22"/>
          <w:szCs w:val="22"/>
          <w:highlight w:val="yellow"/>
          <w:u w:val="double"/>
        </w:rPr>
        <w:t>0850001-016-AC/PSD-FL-327B &amp; 146C, Specific Condition 10</w:t>
      </w:r>
      <w:r w:rsidRPr="00B2321A">
        <w:rPr>
          <w:sz w:val="22"/>
          <w:szCs w:val="22"/>
        </w:rPr>
        <w:t>]</w:t>
      </w:r>
    </w:p>
    <w:p w:rsidR="007277D4" w:rsidRPr="00B2321A" w:rsidRDefault="007277D4" w:rsidP="007277D4">
      <w:pPr>
        <w:pStyle w:val="ListParagraph"/>
        <w:numPr>
          <w:ilvl w:val="0"/>
          <w:numId w:val="1"/>
        </w:numPr>
        <w:tabs>
          <w:tab w:val="left" w:pos="360"/>
        </w:tabs>
        <w:spacing w:after="120"/>
        <w:contextualSpacing w:val="0"/>
        <w:rPr>
          <w:sz w:val="22"/>
          <w:szCs w:val="22"/>
        </w:rPr>
      </w:pPr>
      <w:r w:rsidRPr="00B2321A">
        <w:rPr>
          <w:sz w:val="22"/>
          <w:szCs w:val="22"/>
        </w:rPr>
        <w:t xml:space="preserve">Language from Specific Condition </w:t>
      </w:r>
      <w:r w:rsidRPr="00B2321A">
        <w:rPr>
          <w:b/>
          <w:sz w:val="22"/>
          <w:szCs w:val="22"/>
        </w:rPr>
        <w:t>B.39</w:t>
      </w:r>
      <w:r w:rsidRPr="00B2321A">
        <w:rPr>
          <w:sz w:val="22"/>
          <w:szCs w:val="22"/>
        </w:rPr>
        <w:t xml:space="preserve"> (see item </w:t>
      </w:r>
      <w:r w:rsidRPr="00B2321A">
        <w:rPr>
          <w:b/>
          <w:sz w:val="22"/>
          <w:szCs w:val="22"/>
        </w:rPr>
        <w:fldChar w:fldCharType="begin"/>
      </w:r>
      <w:r w:rsidRPr="00B2321A">
        <w:rPr>
          <w:b/>
          <w:sz w:val="22"/>
          <w:szCs w:val="22"/>
        </w:rPr>
        <w:instrText xml:space="preserve"> REF _Ref520375301 \r \h  \* MERGEFORMAT </w:instrText>
      </w:r>
      <w:r w:rsidRPr="00B2321A">
        <w:rPr>
          <w:b/>
          <w:sz w:val="22"/>
          <w:szCs w:val="22"/>
        </w:rPr>
      </w:r>
      <w:r w:rsidRPr="00B2321A">
        <w:rPr>
          <w:b/>
          <w:sz w:val="22"/>
          <w:szCs w:val="22"/>
        </w:rPr>
        <w:fldChar w:fldCharType="separate"/>
      </w:r>
      <w:r w:rsidR="00C76A61">
        <w:rPr>
          <w:b/>
          <w:sz w:val="22"/>
          <w:szCs w:val="22"/>
        </w:rPr>
        <w:t>57</w:t>
      </w:r>
      <w:r w:rsidRPr="00B2321A">
        <w:rPr>
          <w:b/>
          <w:sz w:val="22"/>
          <w:szCs w:val="22"/>
        </w:rPr>
        <w:fldChar w:fldCharType="end"/>
      </w:r>
      <w:r w:rsidRPr="00B2321A">
        <w:rPr>
          <w:sz w:val="22"/>
          <w:szCs w:val="22"/>
        </w:rPr>
        <w:t>) has been converted to a separate specific condition as follows:</w:t>
      </w:r>
    </w:p>
    <w:p w:rsidR="007277D4" w:rsidRPr="007277D4" w:rsidRDefault="007277D4" w:rsidP="00B2321A">
      <w:pPr>
        <w:numPr>
          <w:ilvl w:val="0"/>
          <w:numId w:val="55"/>
        </w:numPr>
        <w:tabs>
          <w:tab w:val="num" w:pos="0"/>
          <w:tab w:val="left" w:pos="1080"/>
        </w:tabs>
        <w:rPr>
          <w:sz w:val="22"/>
          <w:szCs w:val="22"/>
          <w:highlight w:val="yellow"/>
          <w:u w:val="double"/>
        </w:rPr>
      </w:pPr>
      <w:bookmarkStart w:id="28" w:name="_Ref520296365"/>
      <w:r w:rsidRPr="007277D4">
        <w:rPr>
          <w:sz w:val="22"/>
          <w:szCs w:val="22"/>
          <w:highlight w:val="yellow"/>
          <w:u w:val="double"/>
        </w:rPr>
        <w:t>Compliance Tests Not Required.</w:t>
      </w:r>
      <w:bookmarkEnd w:id="28"/>
    </w:p>
    <w:p w:rsidR="007277D4" w:rsidRPr="007277D4" w:rsidRDefault="007277D4" w:rsidP="00B2321A">
      <w:pPr>
        <w:numPr>
          <w:ilvl w:val="0"/>
          <w:numId w:val="56"/>
        </w:numPr>
        <w:spacing w:after="120"/>
        <w:contextualSpacing/>
        <w:rPr>
          <w:sz w:val="22"/>
          <w:szCs w:val="22"/>
          <w:highlight w:val="yellow"/>
          <w:u w:val="double"/>
        </w:rPr>
      </w:pPr>
      <w:r w:rsidRPr="007277D4">
        <w:rPr>
          <w:i/>
          <w:sz w:val="22"/>
          <w:szCs w:val="22"/>
          <w:highlight w:val="yellow"/>
          <w:u w:val="double"/>
        </w:rPr>
        <w:t>Power Augmentation</w:t>
      </w:r>
      <w:r w:rsidRPr="007277D4">
        <w:rPr>
          <w:sz w:val="22"/>
          <w:szCs w:val="22"/>
          <w:highlight w:val="yellow"/>
          <w:u w:val="double"/>
        </w:rPr>
        <w:t>.  Annual compliance tests when operating in power augmentation mode are not required for any CT that operates in power augmentation mode for less than 400 hours in the previous calendar year.</w:t>
      </w:r>
    </w:p>
    <w:p w:rsidR="007277D4" w:rsidRPr="007277D4" w:rsidRDefault="007277D4" w:rsidP="00B2321A">
      <w:pPr>
        <w:numPr>
          <w:ilvl w:val="0"/>
          <w:numId w:val="56"/>
        </w:numPr>
        <w:contextualSpacing/>
        <w:rPr>
          <w:sz w:val="22"/>
          <w:szCs w:val="22"/>
          <w:highlight w:val="yellow"/>
          <w:u w:val="double"/>
        </w:rPr>
      </w:pPr>
      <w:r w:rsidRPr="007277D4">
        <w:rPr>
          <w:i/>
          <w:sz w:val="22"/>
          <w:szCs w:val="22"/>
          <w:highlight w:val="yellow"/>
          <w:u w:val="double"/>
        </w:rPr>
        <w:t>Distillate Oil Firing</w:t>
      </w:r>
      <w:r w:rsidRPr="007277D4">
        <w:rPr>
          <w:sz w:val="22"/>
          <w:szCs w:val="22"/>
          <w:highlight w:val="yellow"/>
          <w:u w:val="double"/>
        </w:rPr>
        <w:t>.  Annual compliance tests when firing distillate oil are not required for any CT that fires distillate oil for less than 400 hours in the previous calendar year.  CTs firing more than 400 hours on oil will also be required to demonstrate compliance with PM emissions standards.</w:t>
      </w:r>
    </w:p>
    <w:p w:rsidR="007277D4" w:rsidRPr="00B2321A" w:rsidRDefault="007277D4" w:rsidP="007277D4">
      <w:pPr>
        <w:pStyle w:val="ListParagraph"/>
        <w:tabs>
          <w:tab w:val="left" w:pos="360"/>
        </w:tabs>
        <w:spacing w:after="120"/>
        <w:contextualSpacing w:val="0"/>
        <w:rPr>
          <w:sz w:val="22"/>
          <w:szCs w:val="22"/>
          <w:highlight w:val="yellow"/>
          <w:u w:val="double"/>
        </w:rPr>
      </w:pPr>
      <w:r w:rsidRPr="00B2321A">
        <w:rPr>
          <w:sz w:val="22"/>
          <w:szCs w:val="22"/>
          <w:highlight w:val="yellow"/>
          <w:u w:val="double"/>
        </w:rPr>
        <w:t>[Rule 62-297.310(8); and, Permit No. 0850001-032-AC/PSD-FL-146H &amp; 327F, Specific Condition 10]</w:t>
      </w:r>
    </w:p>
    <w:p w:rsidR="007277D4" w:rsidRPr="00B2321A" w:rsidRDefault="00B2321A" w:rsidP="00B2321A">
      <w:pPr>
        <w:pStyle w:val="ListParagraph"/>
        <w:numPr>
          <w:ilvl w:val="0"/>
          <w:numId w:val="1"/>
        </w:numPr>
        <w:tabs>
          <w:tab w:val="left" w:pos="360"/>
        </w:tabs>
        <w:spacing w:after="120"/>
        <w:contextualSpacing w:val="0"/>
        <w:rPr>
          <w:sz w:val="22"/>
          <w:szCs w:val="22"/>
        </w:rPr>
      </w:pPr>
      <w:r w:rsidRPr="00B2321A">
        <w:rPr>
          <w:sz w:val="22"/>
          <w:szCs w:val="22"/>
        </w:rPr>
        <w:t>Because all VOC compliance tests are conditional, language from Permit Nos. PSD-FL-146 and 0850001-032-AC/PSD-FL-146H and 327F has been converted into a separate condition as follows:</w:t>
      </w:r>
    </w:p>
    <w:p w:rsidR="00B2321A" w:rsidRPr="00B2321A" w:rsidRDefault="00B2321A" w:rsidP="00B2321A">
      <w:pPr>
        <w:numPr>
          <w:ilvl w:val="0"/>
          <w:numId w:val="55"/>
        </w:numPr>
        <w:tabs>
          <w:tab w:val="num" w:pos="0"/>
          <w:tab w:val="left" w:pos="1080"/>
        </w:tabs>
        <w:spacing w:after="120"/>
        <w:rPr>
          <w:sz w:val="22"/>
          <w:szCs w:val="22"/>
        </w:rPr>
      </w:pPr>
      <w:r w:rsidRPr="00B2321A">
        <w:rPr>
          <w:sz w:val="22"/>
          <w:szCs w:val="22"/>
          <w:highlight w:val="yellow"/>
          <w:u w:val="double"/>
        </w:rPr>
        <w:t xml:space="preserve">VOC Compliance Requirements.  Annual testing and testing prior to permit renewal are only required if the annual CO test indicates an exceedance of the CO emissions standards (see Specific Condition </w:t>
      </w:r>
      <w:r w:rsidRPr="00B2321A">
        <w:rPr>
          <w:b/>
          <w:sz w:val="22"/>
          <w:szCs w:val="22"/>
          <w:highlight w:val="yellow"/>
          <w:u w:val="double"/>
        </w:rPr>
        <w:t>B.12</w:t>
      </w:r>
      <w:r w:rsidRPr="00B2321A">
        <w:rPr>
          <w:sz w:val="22"/>
          <w:szCs w:val="22"/>
          <w:highlight w:val="yellow"/>
          <w:u w:val="double"/>
        </w:rPr>
        <w:t>).  [Permit Nos. PSD-FL-146 &amp; 0850001-032-AC/PSD-FL-146H &amp; 327F, Specific Condition 10]</w:t>
      </w:r>
    </w:p>
    <w:p w:rsidR="00B2321A" w:rsidRDefault="00B2321A" w:rsidP="00B2321A">
      <w:pPr>
        <w:pStyle w:val="ListParagraph"/>
        <w:numPr>
          <w:ilvl w:val="0"/>
          <w:numId w:val="1"/>
        </w:numPr>
        <w:tabs>
          <w:tab w:val="left" w:pos="360"/>
        </w:tabs>
        <w:spacing w:after="120"/>
        <w:contextualSpacing w:val="0"/>
        <w:rPr>
          <w:sz w:val="22"/>
          <w:szCs w:val="22"/>
        </w:rPr>
      </w:pPr>
      <w:r>
        <w:rPr>
          <w:sz w:val="22"/>
          <w:szCs w:val="22"/>
        </w:rPr>
        <w:t xml:space="preserve">To incorporate minor clarifications and the current version of Rule 62-297.310, F.A.C., Specific Condition </w:t>
      </w:r>
      <w:r>
        <w:rPr>
          <w:b/>
          <w:sz w:val="22"/>
          <w:szCs w:val="22"/>
        </w:rPr>
        <w:t>B.43</w:t>
      </w:r>
      <w:r>
        <w:rPr>
          <w:sz w:val="22"/>
          <w:szCs w:val="22"/>
        </w:rPr>
        <w:t xml:space="preserve"> (formerly </w:t>
      </w:r>
      <w:r>
        <w:rPr>
          <w:b/>
          <w:sz w:val="22"/>
          <w:szCs w:val="22"/>
        </w:rPr>
        <w:t>B.29</w:t>
      </w:r>
      <w:r>
        <w:rPr>
          <w:sz w:val="22"/>
          <w:szCs w:val="22"/>
        </w:rPr>
        <w:t xml:space="preserve"> of Permit No. 0850001-040-AV) has been revised as follows:</w:t>
      </w:r>
    </w:p>
    <w:p w:rsidR="00B2321A" w:rsidRPr="003A2876" w:rsidRDefault="00B2321A" w:rsidP="00B2321A">
      <w:pPr>
        <w:numPr>
          <w:ilvl w:val="0"/>
          <w:numId w:val="55"/>
        </w:numPr>
        <w:tabs>
          <w:tab w:val="num" w:pos="0"/>
          <w:tab w:val="left" w:pos="1080"/>
        </w:tabs>
        <w:spacing w:after="120"/>
        <w:rPr>
          <w:sz w:val="22"/>
          <w:szCs w:val="22"/>
        </w:rPr>
      </w:pPr>
      <w:r w:rsidRPr="00B2321A">
        <w:rPr>
          <w:sz w:val="22"/>
          <w:szCs w:val="22"/>
          <w:u w:val="single"/>
        </w:rPr>
        <w:t>Compliance Tests Prior To Renewal</w:t>
      </w:r>
      <w:r w:rsidRPr="00B2321A">
        <w:rPr>
          <w:sz w:val="22"/>
          <w:szCs w:val="22"/>
        </w:rPr>
        <w:t xml:space="preserve">.  Unless specifically exempted per Florida </w:t>
      </w:r>
      <w:r w:rsidRPr="00B2321A">
        <w:rPr>
          <w:strike/>
          <w:sz w:val="22"/>
          <w:szCs w:val="22"/>
          <w:highlight w:val="yellow"/>
        </w:rPr>
        <w:t>Rule</w:t>
      </w:r>
      <w:r w:rsidRPr="00B2321A">
        <w:rPr>
          <w:sz w:val="22"/>
          <w:szCs w:val="22"/>
          <w:highlight w:val="yellow"/>
        </w:rPr>
        <w:t xml:space="preserve"> </w:t>
      </w:r>
      <w:r w:rsidRPr="00B2321A">
        <w:rPr>
          <w:sz w:val="22"/>
          <w:szCs w:val="22"/>
          <w:highlight w:val="yellow"/>
          <w:u w:val="double"/>
        </w:rPr>
        <w:t>Chapter</w:t>
      </w:r>
      <w:r w:rsidRPr="00B2321A">
        <w:rPr>
          <w:sz w:val="22"/>
          <w:szCs w:val="22"/>
        </w:rPr>
        <w:t xml:space="preserve"> 62-297, F.A.C. </w:t>
      </w:r>
      <w:r w:rsidRPr="00B2321A">
        <w:rPr>
          <w:sz w:val="22"/>
          <w:szCs w:val="22"/>
          <w:highlight w:val="yellow"/>
          <w:u w:val="double"/>
        </w:rPr>
        <w:t xml:space="preserve">(see condition </w:t>
      </w:r>
      <w:r w:rsidRPr="00B2321A">
        <w:rPr>
          <w:b/>
          <w:sz w:val="22"/>
          <w:szCs w:val="22"/>
          <w:highlight w:val="yellow"/>
          <w:u w:val="double"/>
        </w:rPr>
        <w:t>TR7.</w:t>
      </w:r>
      <w:r w:rsidRPr="00B2321A">
        <w:rPr>
          <w:sz w:val="22"/>
          <w:szCs w:val="22"/>
          <w:highlight w:val="yellow"/>
          <w:u w:val="double"/>
        </w:rPr>
        <w:t>b.(3) in Appendix TR – Facility-wide Testing Requirements)</w:t>
      </w:r>
      <w:r w:rsidRPr="00B2321A">
        <w:rPr>
          <w:sz w:val="22"/>
          <w:szCs w:val="22"/>
        </w:rPr>
        <w:t>, prior to permit renewal, compliance tests shall be performed for the following pollutants:  VE, CO, VOC (if the annual CO test indicates an exceedance of the CO standard), NO</w:t>
      </w:r>
      <w:r w:rsidRPr="00B2321A">
        <w:rPr>
          <w:sz w:val="22"/>
          <w:szCs w:val="22"/>
          <w:vertAlign w:val="subscript"/>
        </w:rPr>
        <w:t>X</w:t>
      </w:r>
      <w:r w:rsidRPr="00B2321A">
        <w:rPr>
          <w:sz w:val="22"/>
          <w:szCs w:val="22"/>
        </w:rPr>
        <w:t xml:space="preserve"> </w:t>
      </w:r>
      <w:r w:rsidRPr="00B2321A">
        <w:rPr>
          <w:sz w:val="22"/>
          <w:szCs w:val="22"/>
          <w:highlight w:val="yellow"/>
          <w:u w:val="double"/>
        </w:rPr>
        <w:t>(if substitution with the 40 CFR 75 RATA is not performed)</w:t>
      </w:r>
      <w:r w:rsidRPr="00B2321A">
        <w:rPr>
          <w:sz w:val="22"/>
          <w:szCs w:val="22"/>
        </w:rPr>
        <w:t xml:space="preserve"> and PM (if oil is fired).  </w:t>
      </w:r>
      <w:r w:rsidRPr="00B2321A">
        <w:rPr>
          <w:sz w:val="22"/>
          <w:szCs w:val="22"/>
          <w:highlight w:val="yellow"/>
          <w:u w:val="double"/>
        </w:rPr>
        <w:t>The permittee may submit the most recent compliance test to satisfy this requirement, provided such test occurred within the term of the current operating permit.</w:t>
      </w:r>
      <w:r w:rsidRPr="00B2321A">
        <w:rPr>
          <w:sz w:val="22"/>
          <w:szCs w:val="22"/>
        </w:rPr>
        <w:t xml:space="preserve">  </w:t>
      </w:r>
      <w:r w:rsidRPr="003A2876">
        <w:rPr>
          <w:sz w:val="22"/>
          <w:szCs w:val="22"/>
        </w:rPr>
        <w:t>[Rule 62-297.310(</w:t>
      </w:r>
      <w:r w:rsidRPr="003A2876">
        <w:rPr>
          <w:strike/>
          <w:sz w:val="22"/>
          <w:szCs w:val="22"/>
          <w:highlight w:val="yellow"/>
        </w:rPr>
        <w:t>7</w:t>
      </w:r>
      <w:r w:rsidRPr="003A2876">
        <w:rPr>
          <w:sz w:val="22"/>
          <w:szCs w:val="22"/>
          <w:highlight w:val="yellow"/>
          <w:u w:val="double"/>
        </w:rPr>
        <w:t>8</w:t>
      </w:r>
      <w:r w:rsidRPr="003A2876">
        <w:rPr>
          <w:sz w:val="22"/>
          <w:szCs w:val="22"/>
        </w:rPr>
        <w:t>)(</w:t>
      </w:r>
      <w:r w:rsidRPr="003A2876">
        <w:rPr>
          <w:strike/>
          <w:sz w:val="22"/>
          <w:szCs w:val="22"/>
          <w:highlight w:val="yellow"/>
        </w:rPr>
        <w:t>a</w:t>
      </w:r>
      <w:r w:rsidRPr="003A2876">
        <w:rPr>
          <w:sz w:val="22"/>
          <w:szCs w:val="22"/>
          <w:highlight w:val="yellow"/>
          <w:u w:val="double"/>
        </w:rPr>
        <w:t>b</w:t>
      </w:r>
      <w:r w:rsidRPr="003A2876">
        <w:rPr>
          <w:sz w:val="22"/>
          <w:szCs w:val="22"/>
        </w:rPr>
        <w:t>)</w:t>
      </w:r>
      <w:r w:rsidRPr="003A2876">
        <w:rPr>
          <w:strike/>
          <w:sz w:val="22"/>
          <w:szCs w:val="22"/>
          <w:highlight w:val="yellow"/>
        </w:rPr>
        <w:t>3.</w:t>
      </w:r>
      <w:r w:rsidRPr="003A2876">
        <w:rPr>
          <w:sz w:val="22"/>
          <w:szCs w:val="22"/>
        </w:rPr>
        <w:t>, F.A.C.; and, 0850001-032-AC</w:t>
      </w:r>
      <w:r w:rsidRPr="003A2876">
        <w:rPr>
          <w:sz w:val="22"/>
          <w:szCs w:val="22"/>
          <w:highlight w:val="yellow"/>
          <w:u w:val="double"/>
        </w:rPr>
        <w:t>/</w:t>
      </w:r>
      <w:r w:rsidRPr="003A2876">
        <w:rPr>
          <w:sz w:val="22"/>
          <w:szCs w:val="22"/>
        </w:rPr>
        <w:t xml:space="preserve"> </w:t>
      </w:r>
      <w:r w:rsidRPr="003A2876">
        <w:rPr>
          <w:strike/>
          <w:sz w:val="22"/>
          <w:szCs w:val="22"/>
          <w:highlight w:val="yellow"/>
        </w:rPr>
        <w:t>(</w:t>
      </w:r>
      <w:r w:rsidRPr="003A2876">
        <w:rPr>
          <w:sz w:val="22"/>
          <w:szCs w:val="22"/>
        </w:rPr>
        <w:t>PSD-FL-146H</w:t>
      </w:r>
      <w:r w:rsidRPr="003A2876">
        <w:rPr>
          <w:strike/>
          <w:sz w:val="22"/>
          <w:szCs w:val="22"/>
          <w:highlight w:val="yellow"/>
        </w:rPr>
        <w:t>/</w:t>
      </w:r>
      <w:r w:rsidRPr="003A2876">
        <w:rPr>
          <w:sz w:val="22"/>
          <w:szCs w:val="22"/>
        </w:rPr>
        <w:t xml:space="preserve"> </w:t>
      </w:r>
      <w:r w:rsidRPr="003A2876">
        <w:rPr>
          <w:sz w:val="22"/>
          <w:szCs w:val="22"/>
          <w:highlight w:val="yellow"/>
          <w:u w:val="double"/>
        </w:rPr>
        <w:t>&amp;</w:t>
      </w:r>
      <w:r w:rsidRPr="003A2876">
        <w:rPr>
          <w:sz w:val="22"/>
          <w:szCs w:val="22"/>
        </w:rPr>
        <w:t xml:space="preserve"> PSD-FL-327F</w:t>
      </w:r>
      <w:r w:rsidRPr="003A2876">
        <w:rPr>
          <w:strike/>
          <w:sz w:val="22"/>
          <w:szCs w:val="22"/>
          <w:highlight w:val="yellow"/>
        </w:rPr>
        <w:t>)</w:t>
      </w:r>
      <w:r w:rsidRPr="003A2876">
        <w:rPr>
          <w:sz w:val="22"/>
          <w:szCs w:val="22"/>
        </w:rPr>
        <w:t>]</w:t>
      </w:r>
    </w:p>
    <w:p w:rsidR="00136752" w:rsidRPr="003A2876" w:rsidRDefault="00136752" w:rsidP="00136752">
      <w:pPr>
        <w:pStyle w:val="ListParagraph"/>
        <w:numPr>
          <w:ilvl w:val="0"/>
          <w:numId w:val="1"/>
        </w:numPr>
        <w:tabs>
          <w:tab w:val="left" w:pos="360"/>
        </w:tabs>
        <w:spacing w:after="120"/>
        <w:contextualSpacing w:val="0"/>
        <w:rPr>
          <w:sz w:val="22"/>
          <w:szCs w:val="22"/>
        </w:rPr>
      </w:pPr>
      <w:r w:rsidRPr="003A2876">
        <w:rPr>
          <w:sz w:val="22"/>
          <w:szCs w:val="22"/>
        </w:rPr>
        <w:t xml:space="preserve">Specific Conditions </w:t>
      </w:r>
      <w:r w:rsidRPr="003A2876">
        <w:rPr>
          <w:b/>
          <w:sz w:val="22"/>
          <w:szCs w:val="22"/>
        </w:rPr>
        <w:t>B.45</w:t>
      </w:r>
      <w:r w:rsidRPr="003A2876">
        <w:rPr>
          <w:sz w:val="22"/>
          <w:szCs w:val="22"/>
        </w:rPr>
        <w:t xml:space="preserve"> and </w:t>
      </w:r>
      <w:r w:rsidRPr="003A2876">
        <w:rPr>
          <w:b/>
          <w:sz w:val="22"/>
          <w:szCs w:val="22"/>
        </w:rPr>
        <w:t>B.46</w:t>
      </w:r>
      <w:r w:rsidRPr="003A2876">
        <w:rPr>
          <w:sz w:val="22"/>
          <w:szCs w:val="22"/>
        </w:rPr>
        <w:t xml:space="preserve"> (formerly </w:t>
      </w:r>
      <w:r w:rsidRPr="003A2876">
        <w:rPr>
          <w:b/>
          <w:sz w:val="22"/>
          <w:szCs w:val="22"/>
        </w:rPr>
        <w:t>B.31</w:t>
      </w:r>
      <w:r w:rsidRPr="003A2876">
        <w:rPr>
          <w:sz w:val="22"/>
          <w:szCs w:val="22"/>
        </w:rPr>
        <w:t xml:space="preserve"> and </w:t>
      </w:r>
      <w:r w:rsidRPr="003A2876">
        <w:rPr>
          <w:b/>
          <w:sz w:val="22"/>
          <w:szCs w:val="22"/>
        </w:rPr>
        <w:t>B.32</w:t>
      </w:r>
      <w:r w:rsidRPr="003A2876">
        <w:rPr>
          <w:sz w:val="22"/>
          <w:szCs w:val="22"/>
        </w:rPr>
        <w:t xml:space="preserve">) have been deleted.  Specific Condition </w:t>
      </w:r>
      <w:r w:rsidRPr="003A2876">
        <w:rPr>
          <w:b/>
          <w:sz w:val="22"/>
          <w:szCs w:val="22"/>
        </w:rPr>
        <w:t>B.45</w:t>
      </w:r>
      <w:r w:rsidRPr="003A2876">
        <w:rPr>
          <w:sz w:val="22"/>
          <w:szCs w:val="22"/>
        </w:rPr>
        <w:t xml:space="preserve"> has been deleted, because 40 CFR 60.335 outlines stack test procedures for NO</w:t>
      </w:r>
      <w:r w:rsidRPr="003A2876">
        <w:rPr>
          <w:sz w:val="22"/>
          <w:szCs w:val="22"/>
          <w:vertAlign w:val="subscript"/>
        </w:rPr>
        <w:t>X</w:t>
      </w:r>
      <w:r w:rsidRPr="003A2876">
        <w:rPr>
          <w:sz w:val="22"/>
          <w:szCs w:val="22"/>
        </w:rPr>
        <w:t>, which are not applicable because the compliance method for NO</w:t>
      </w:r>
      <w:r w:rsidRPr="003A2876">
        <w:rPr>
          <w:sz w:val="22"/>
          <w:szCs w:val="22"/>
          <w:vertAlign w:val="subscript"/>
        </w:rPr>
        <w:t>X</w:t>
      </w:r>
      <w:r w:rsidRPr="003A2876">
        <w:rPr>
          <w:sz w:val="22"/>
          <w:szCs w:val="22"/>
        </w:rPr>
        <w:t xml:space="preserve"> is a CEMS.  Specific Condition </w:t>
      </w:r>
      <w:r w:rsidRPr="003A2876">
        <w:rPr>
          <w:b/>
          <w:sz w:val="22"/>
          <w:szCs w:val="22"/>
        </w:rPr>
        <w:t>B.46</w:t>
      </w:r>
      <w:r w:rsidRPr="003A2876">
        <w:rPr>
          <w:sz w:val="22"/>
          <w:szCs w:val="22"/>
        </w:rPr>
        <w:t xml:space="preserve"> because SO</w:t>
      </w:r>
      <w:r w:rsidRPr="003A2876">
        <w:rPr>
          <w:sz w:val="22"/>
          <w:szCs w:val="22"/>
          <w:vertAlign w:val="subscript"/>
        </w:rPr>
        <w:t>2</w:t>
      </w:r>
      <w:r w:rsidRPr="003A2876">
        <w:rPr>
          <w:sz w:val="22"/>
          <w:szCs w:val="22"/>
        </w:rPr>
        <w:t xml:space="preserve"> and NO</w:t>
      </w:r>
      <w:r w:rsidRPr="003A2876">
        <w:rPr>
          <w:sz w:val="22"/>
          <w:szCs w:val="22"/>
          <w:vertAlign w:val="subscript"/>
        </w:rPr>
        <w:t>X</w:t>
      </w:r>
      <w:r w:rsidRPr="003A2876">
        <w:rPr>
          <w:sz w:val="22"/>
          <w:szCs w:val="22"/>
        </w:rPr>
        <w:t xml:space="preserve"> compliance methods are already present in the body of the permit, making this condition redundant.  </w:t>
      </w:r>
    </w:p>
    <w:p w:rsidR="00136752" w:rsidRPr="003A2876" w:rsidRDefault="00136752" w:rsidP="00136752">
      <w:pPr>
        <w:pStyle w:val="ListParagraph"/>
        <w:numPr>
          <w:ilvl w:val="0"/>
          <w:numId w:val="1"/>
        </w:numPr>
        <w:tabs>
          <w:tab w:val="left" w:pos="360"/>
        </w:tabs>
        <w:spacing w:after="120"/>
        <w:contextualSpacing w:val="0"/>
        <w:rPr>
          <w:sz w:val="22"/>
          <w:szCs w:val="22"/>
        </w:rPr>
      </w:pPr>
      <w:r w:rsidRPr="003A2876">
        <w:rPr>
          <w:sz w:val="22"/>
          <w:szCs w:val="22"/>
        </w:rPr>
        <w:t xml:space="preserve">Specific Condition </w:t>
      </w:r>
      <w:r w:rsidRPr="003A2876">
        <w:rPr>
          <w:b/>
          <w:sz w:val="22"/>
          <w:szCs w:val="22"/>
        </w:rPr>
        <w:t>B.47</w:t>
      </w:r>
      <w:r w:rsidRPr="003A2876">
        <w:rPr>
          <w:sz w:val="22"/>
          <w:szCs w:val="22"/>
        </w:rPr>
        <w:t xml:space="preserve"> (formerly </w:t>
      </w:r>
      <w:r w:rsidRPr="003A2876">
        <w:rPr>
          <w:b/>
          <w:sz w:val="22"/>
          <w:szCs w:val="22"/>
        </w:rPr>
        <w:t>B.33</w:t>
      </w:r>
      <w:r w:rsidRPr="003A2876">
        <w:rPr>
          <w:sz w:val="22"/>
          <w:szCs w:val="22"/>
        </w:rPr>
        <w:t xml:space="preserve"> of Permit No. 0850001-040-AV) has been revised, because Permit No. PSD-FL-146 already outlines fuel sulfur content testing requirements.  Unless otherwise stated in an air construction permit or rule, testing provisions in NSPS Subpart GG are only used to demonstrate compliance with the applicable NSPS Subpart GG standard.  Therefore, this condition has been revised as follows:</w:t>
      </w:r>
    </w:p>
    <w:p w:rsidR="00136752" w:rsidRPr="003A2876" w:rsidRDefault="00136752" w:rsidP="00136752">
      <w:pPr>
        <w:numPr>
          <w:ilvl w:val="0"/>
          <w:numId w:val="57"/>
        </w:numPr>
        <w:tabs>
          <w:tab w:val="left" w:pos="1080"/>
        </w:tabs>
        <w:spacing w:after="120"/>
        <w:rPr>
          <w:sz w:val="22"/>
          <w:szCs w:val="22"/>
        </w:rPr>
      </w:pPr>
      <w:r w:rsidRPr="003A2876">
        <w:rPr>
          <w:sz w:val="22"/>
          <w:szCs w:val="22"/>
          <w:u w:val="single"/>
        </w:rPr>
        <w:t>Sulfur Content</w:t>
      </w:r>
      <w:r w:rsidRPr="003A2876">
        <w:rPr>
          <w:sz w:val="22"/>
          <w:szCs w:val="22"/>
        </w:rPr>
        <w:t>.  The owner or operator shall determine compliance with the sulfur content standard of 0.</w:t>
      </w:r>
      <w:r w:rsidRPr="003A2876">
        <w:rPr>
          <w:strike/>
          <w:sz w:val="22"/>
          <w:szCs w:val="22"/>
          <w:highlight w:val="yellow"/>
        </w:rPr>
        <w:t>5</w:t>
      </w:r>
      <w:r w:rsidRPr="003A2876">
        <w:rPr>
          <w:sz w:val="22"/>
          <w:szCs w:val="22"/>
          <w:highlight w:val="yellow"/>
          <w:u w:val="double"/>
        </w:rPr>
        <w:t>8</w:t>
      </w:r>
      <w:r w:rsidRPr="003A2876">
        <w:rPr>
          <w:sz w:val="22"/>
          <w:szCs w:val="22"/>
        </w:rPr>
        <w:t xml:space="preserve"> percent, by weight, by following all requirements of 40 CFR 60.335</w:t>
      </w:r>
      <w:r w:rsidRPr="003A2876">
        <w:rPr>
          <w:strike/>
          <w:sz w:val="22"/>
          <w:szCs w:val="22"/>
          <w:highlight w:val="yellow"/>
        </w:rPr>
        <w:t>.</w:t>
      </w:r>
      <w:r w:rsidRPr="003A2876">
        <w:rPr>
          <w:sz w:val="22"/>
          <w:szCs w:val="22"/>
        </w:rPr>
        <w:t xml:space="preserve"> </w:t>
      </w:r>
      <w:r w:rsidRPr="003A2876">
        <w:rPr>
          <w:sz w:val="22"/>
          <w:szCs w:val="22"/>
          <w:highlight w:val="yellow"/>
          <w:u w:val="double"/>
        </w:rPr>
        <w:t>(</w:t>
      </w:r>
      <w:r w:rsidRPr="003A2876">
        <w:rPr>
          <w:sz w:val="22"/>
          <w:szCs w:val="22"/>
        </w:rPr>
        <w:t>See Appendix NSPS Subpart GG</w:t>
      </w:r>
      <w:r w:rsidRPr="003A2876">
        <w:rPr>
          <w:sz w:val="22"/>
          <w:szCs w:val="22"/>
          <w:highlight w:val="yellow"/>
          <w:u w:val="double"/>
        </w:rPr>
        <w:t>)</w:t>
      </w:r>
      <w:r w:rsidRPr="003A2876">
        <w:rPr>
          <w:sz w:val="22"/>
          <w:szCs w:val="22"/>
        </w:rPr>
        <w:t>.  [40 CFR 60.335]</w:t>
      </w:r>
    </w:p>
    <w:p w:rsidR="00136752" w:rsidRPr="003A2876" w:rsidRDefault="003A2876" w:rsidP="00136752">
      <w:pPr>
        <w:pStyle w:val="ListParagraph"/>
        <w:numPr>
          <w:ilvl w:val="0"/>
          <w:numId w:val="1"/>
        </w:numPr>
        <w:tabs>
          <w:tab w:val="left" w:pos="360"/>
        </w:tabs>
        <w:spacing w:after="120"/>
        <w:contextualSpacing w:val="0"/>
        <w:rPr>
          <w:sz w:val="22"/>
          <w:szCs w:val="22"/>
        </w:rPr>
      </w:pPr>
      <w:r w:rsidRPr="003A2876">
        <w:rPr>
          <w:sz w:val="22"/>
          <w:szCs w:val="22"/>
        </w:rPr>
        <w:t xml:space="preserve">Minor clarifications to Specific Condition </w:t>
      </w:r>
      <w:r w:rsidRPr="003A2876">
        <w:rPr>
          <w:b/>
          <w:sz w:val="22"/>
          <w:szCs w:val="22"/>
        </w:rPr>
        <w:t>B.48</w:t>
      </w:r>
      <w:r w:rsidRPr="003A2876">
        <w:rPr>
          <w:sz w:val="22"/>
          <w:szCs w:val="22"/>
        </w:rPr>
        <w:t xml:space="preserve"> (formerly </w:t>
      </w:r>
      <w:r w:rsidRPr="003A2876">
        <w:rPr>
          <w:b/>
          <w:sz w:val="22"/>
          <w:szCs w:val="22"/>
        </w:rPr>
        <w:t>B.34</w:t>
      </w:r>
      <w:r w:rsidRPr="003A2876">
        <w:rPr>
          <w:sz w:val="22"/>
          <w:szCs w:val="22"/>
        </w:rPr>
        <w:t xml:space="preserve"> of Permit No. 0850001-040-AV) were made as follows:</w:t>
      </w:r>
    </w:p>
    <w:p w:rsidR="003A2876" w:rsidRPr="003A2876" w:rsidRDefault="003A2876" w:rsidP="003A2876">
      <w:pPr>
        <w:numPr>
          <w:ilvl w:val="0"/>
          <w:numId w:val="57"/>
        </w:numPr>
        <w:tabs>
          <w:tab w:val="left" w:pos="1080"/>
        </w:tabs>
        <w:spacing w:after="120"/>
        <w:rPr>
          <w:sz w:val="22"/>
          <w:szCs w:val="22"/>
        </w:rPr>
      </w:pPr>
      <w:r w:rsidRPr="003A2876">
        <w:rPr>
          <w:sz w:val="22"/>
          <w:szCs w:val="22"/>
          <w:u w:val="single"/>
        </w:rPr>
        <w:t>Fuel Analysis</w:t>
      </w:r>
      <w:r w:rsidRPr="003A2876">
        <w:rPr>
          <w:sz w:val="22"/>
          <w:szCs w:val="22"/>
        </w:rPr>
        <w:t xml:space="preserve">.  To meet the requirements of 40 CFR 60.334, the owner or operator shall use the methods specified in 40 CFR 60.335 and </w:t>
      </w:r>
      <w:r w:rsidRPr="003A2876">
        <w:rPr>
          <w:sz w:val="22"/>
          <w:szCs w:val="22"/>
          <w:highlight w:val="yellow"/>
          <w:u w:val="double"/>
        </w:rPr>
        <w:t xml:space="preserve">the Custom Fuel Monitoring Schedule for Natural Gas (See Specific Condition </w:t>
      </w:r>
      <w:r w:rsidRPr="003A2876">
        <w:rPr>
          <w:b/>
          <w:sz w:val="22"/>
          <w:szCs w:val="22"/>
          <w:highlight w:val="yellow"/>
          <w:u w:val="double"/>
        </w:rPr>
        <w:t>B.26)</w:t>
      </w:r>
      <w:r w:rsidRPr="003A2876">
        <w:rPr>
          <w:sz w:val="22"/>
          <w:szCs w:val="22"/>
        </w:rPr>
        <w:t xml:space="preserve"> to determine the nitrogen and sulfur content of the fuel being burned.  The analysis may be performed by the owner or operator, a service contractor retained by the owner or operator, the fuel vendor, or any other qualified agency.  </w:t>
      </w:r>
      <w:r w:rsidRPr="003A2876">
        <w:rPr>
          <w:strike/>
          <w:sz w:val="22"/>
          <w:szCs w:val="22"/>
          <w:highlight w:val="yellow"/>
        </w:rPr>
        <w:t xml:space="preserve">See Specific Condition </w:t>
      </w:r>
      <w:r w:rsidRPr="003A2876">
        <w:rPr>
          <w:b/>
          <w:strike/>
          <w:sz w:val="22"/>
          <w:szCs w:val="22"/>
          <w:highlight w:val="yellow"/>
        </w:rPr>
        <w:t>B.15</w:t>
      </w:r>
      <w:r w:rsidRPr="003A2876">
        <w:rPr>
          <w:strike/>
          <w:sz w:val="22"/>
          <w:szCs w:val="22"/>
          <w:highlight w:val="yellow"/>
        </w:rPr>
        <w:t xml:space="preserve"> that describes the approved Custom Fuel Monitoring Schedule for Natural Gas for this facility.</w:t>
      </w:r>
      <w:r w:rsidRPr="003A2876">
        <w:rPr>
          <w:sz w:val="22"/>
          <w:szCs w:val="22"/>
        </w:rPr>
        <w:t xml:space="preserve">  [40 CFR 60.335]</w:t>
      </w:r>
    </w:p>
    <w:p w:rsidR="003A2876" w:rsidRPr="003A2876" w:rsidRDefault="003A2876" w:rsidP="003A2876">
      <w:pPr>
        <w:pStyle w:val="ListParagraph"/>
        <w:numPr>
          <w:ilvl w:val="0"/>
          <w:numId w:val="1"/>
        </w:numPr>
        <w:tabs>
          <w:tab w:val="left" w:pos="360"/>
        </w:tabs>
        <w:spacing w:after="120"/>
        <w:contextualSpacing w:val="0"/>
        <w:rPr>
          <w:sz w:val="22"/>
          <w:szCs w:val="22"/>
        </w:rPr>
      </w:pPr>
      <w:r w:rsidRPr="003A2876">
        <w:rPr>
          <w:sz w:val="22"/>
          <w:szCs w:val="22"/>
        </w:rPr>
        <w:t xml:space="preserve">Fuel sulfur content limits from Specific Condition </w:t>
      </w:r>
      <w:r w:rsidRPr="003A2876">
        <w:rPr>
          <w:b/>
          <w:sz w:val="22"/>
          <w:szCs w:val="22"/>
        </w:rPr>
        <w:t>B.49</w:t>
      </w:r>
      <w:r w:rsidRPr="003A2876">
        <w:rPr>
          <w:sz w:val="22"/>
          <w:szCs w:val="22"/>
        </w:rPr>
        <w:t xml:space="preserve"> (formerly </w:t>
      </w:r>
      <w:r w:rsidRPr="003A2876">
        <w:rPr>
          <w:b/>
          <w:sz w:val="22"/>
          <w:szCs w:val="22"/>
        </w:rPr>
        <w:t>B.35</w:t>
      </w:r>
      <w:r w:rsidRPr="003A2876">
        <w:rPr>
          <w:sz w:val="22"/>
          <w:szCs w:val="22"/>
        </w:rPr>
        <w:t xml:space="preserve"> of Permit No. 0850001-040-AV) for distillate oil have been moved to </w:t>
      </w:r>
      <w:r w:rsidRPr="003A2876">
        <w:rPr>
          <w:b/>
          <w:sz w:val="22"/>
          <w:szCs w:val="22"/>
          <w:u w:val="single"/>
        </w:rPr>
        <w:t>Emission Limitations and Standards</w:t>
      </w:r>
      <w:r w:rsidRPr="003A2876">
        <w:rPr>
          <w:sz w:val="22"/>
          <w:szCs w:val="22"/>
        </w:rPr>
        <w:t xml:space="preserve"> (see Specific Condition </w:t>
      </w:r>
      <w:r w:rsidRPr="003A2876">
        <w:rPr>
          <w:b/>
          <w:sz w:val="22"/>
          <w:szCs w:val="22"/>
        </w:rPr>
        <w:t>B.15</w:t>
      </w:r>
      <w:r w:rsidRPr="003A2876">
        <w:rPr>
          <w:sz w:val="22"/>
          <w:szCs w:val="22"/>
        </w:rPr>
        <w:t xml:space="preserve"> and item </w:t>
      </w:r>
      <w:r w:rsidRPr="003A2876">
        <w:rPr>
          <w:b/>
          <w:sz w:val="22"/>
          <w:szCs w:val="22"/>
        </w:rPr>
        <w:fldChar w:fldCharType="begin"/>
      </w:r>
      <w:r w:rsidRPr="003A2876">
        <w:rPr>
          <w:b/>
          <w:sz w:val="22"/>
          <w:szCs w:val="22"/>
        </w:rPr>
        <w:instrText xml:space="preserve"> REF _Ref520377388 \r \h  \* MERGEFORMAT </w:instrText>
      </w:r>
      <w:r w:rsidRPr="003A2876">
        <w:rPr>
          <w:b/>
          <w:sz w:val="22"/>
          <w:szCs w:val="22"/>
        </w:rPr>
      </w:r>
      <w:r w:rsidRPr="003A2876">
        <w:rPr>
          <w:b/>
          <w:sz w:val="22"/>
          <w:szCs w:val="22"/>
        </w:rPr>
        <w:fldChar w:fldCharType="separate"/>
      </w:r>
      <w:r w:rsidR="00C76A61">
        <w:rPr>
          <w:b/>
          <w:sz w:val="22"/>
          <w:szCs w:val="22"/>
        </w:rPr>
        <w:t>46</w:t>
      </w:r>
      <w:r w:rsidRPr="003A2876">
        <w:rPr>
          <w:b/>
          <w:sz w:val="22"/>
          <w:szCs w:val="22"/>
        </w:rPr>
        <w:fldChar w:fldCharType="end"/>
      </w:r>
      <w:r w:rsidRPr="003A2876">
        <w:rPr>
          <w:sz w:val="22"/>
          <w:szCs w:val="22"/>
        </w:rPr>
        <w:t>).  This condition has been revised as follows:</w:t>
      </w:r>
    </w:p>
    <w:p w:rsidR="003A2876" w:rsidRDefault="003A2876" w:rsidP="003A2876">
      <w:pPr>
        <w:numPr>
          <w:ilvl w:val="0"/>
          <w:numId w:val="57"/>
        </w:numPr>
        <w:tabs>
          <w:tab w:val="left" w:pos="1080"/>
        </w:tabs>
        <w:spacing w:after="120"/>
        <w:rPr>
          <w:sz w:val="22"/>
          <w:szCs w:val="22"/>
        </w:rPr>
      </w:pPr>
      <w:r w:rsidRPr="003A2876">
        <w:rPr>
          <w:sz w:val="22"/>
          <w:szCs w:val="22"/>
          <w:highlight w:val="yellow"/>
          <w:u w:val="double"/>
        </w:rPr>
        <w:t>Distillate Oil</w:t>
      </w:r>
      <w:r w:rsidRPr="003A2876">
        <w:rPr>
          <w:sz w:val="22"/>
          <w:szCs w:val="22"/>
          <w:u w:val="single"/>
        </w:rPr>
        <w:t xml:space="preserve"> Sulfur Content </w:t>
      </w:r>
      <w:r w:rsidRPr="003A2876">
        <w:rPr>
          <w:sz w:val="22"/>
          <w:szCs w:val="22"/>
          <w:highlight w:val="yellow"/>
          <w:u w:val="double"/>
        </w:rPr>
        <w:t>Testing</w:t>
      </w:r>
      <w:r w:rsidRPr="003A2876">
        <w:rPr>
          <w:sz w:val="22"/>
          <w:szCs w:val="22"/>
        </w:rPr>
        <w:t xml:space="preserve">.  </w:t>
      </w:r>
      <w:r w:rsidRPr="003A2876">
        <w:rPr>
          <w:strike/>
          <w:sz w:val="22"/>
          <w:szCs w:val="22"/>
          <w:highlight w:val="yellow"/>
        </w:rPr>
        <w:t>The average sulfur content of the light distillate oil shall not exceed 0.3%, by weight, during any consecutive 12-month period.  The maximum sulfur content of the light distillate fuel oil shall not exceed 0.5%, by weight.</w:t>
      </w:r>
      <w:r w:rsidRPr="003A2876">
        <w:rPr>
          <w:sz w:val="22"/>
          <w:szCs w:val="22"/>
        </w:rPr>
        <w:t xml:space="preserve">  The 12-month average sulfur content </w:t>
      </w:r>
      <w:r w:rsidRPr="003A2876">
        <w:rPr>
          <w:sz w:val="22"/>
          <w:szCs w:val="22"/>
          <w:highlight w:val="yellow"/>
          <w:u w:val="double"/>
        </w:rPr>
        <w:t xml:space="preserve">(see Specific Condition </w:t>
      </w:r>
      <w:r>
        <w:rPr>
          <w:b/>
          <w:sz w:val="22"/>
          <w:szCs w:val="22"/>
          <w:highlight w:val="yellow"/>
          <w:u w:val="double"/>
        </w:rPr>
        <w:t>B.15</w:t>
      </w:r>
      <w:r w:rsidRPr="003A2876">
        <w:rPr>
          <w:sz w:val="22"/>
          <w:szCs w:val="22"/>
          <w:highlight w:val="yellow"/>
          <w:u w:val="double"/>
        </w:rPr>
        <w:t xml:space="preserve">, paragraph </w:t>
      </w:r>
      <w:r>
        <w:rPr>
          <w:b/>
          <w:sz w:val="22"/>
          <w:szCs w:val="22"/>
          <w:highlight w:val="yellow"/>
          <w:u w:val="double"/>
        </w:rPr>
        <w:t>b</w:t>
      </w:r>
      <w:r w:rsidRPr="003A2876">
        <w:rPr>
          <w:sz w:val="22"/>
          <w:szCs w:val="22"/>
          <w:highlight w:val="yellow"/>
          <w:u w:val="double"/>
        </w:rPr>
        <w:t>)</w:t>
      </w:r>
      <w:r w:rsidRPr="003A2876">
        <w:rPr>
          <w:sz w:val="22"/>
          <w:szCs w:val="22"/>
        </w:rPr>
        <w:t xml:space="preserve"> shall be calculated as a weighted average based upon the sulfur content of the oil and the amount burned on a daily basis.  Compliance shall be demonstrated in accordance with the requirements of 40 CFR 60.334 by testing for sulfur content, for nitrogen content, and for heating value of oil storage tanks once per day when firing oil using ASTM D 2880-96.  [Rule 62-213.440, F.A.C.; applicant agreement with EPA on March 3, 1998; and PSD-FL-146, Specific Condition No. 11]</w:t>
      </w:r>
    </w:p>
    <w:p w:rsidR="003A2876" w:rsidRDefault="003A2876" w:rsidP="003A2876">
      <w:pPr>
        <w:pStyle w:val="ListParagraph"/>
        <w:numPr>
          <w:ilvl w:val="0"/>
          <w:numId w:val="1"/>
        </w:numPr>
        <w:tabs>
          <w:tab w:val="left" w:pos="360"/>
        </w:tabs>
        <w:spacing w:after="120"/>
        <w:contextualSpacing w:val="0"/>
        <w:rPr>
          <w:sz w:val="22"/>
          <w:szCs w:val="22"/>
        </w:rPr>
      </w:pPr>
      <w:r>
        <w:rPr>
          <w:sz w:val="22"/>
          <w:szCs w:val="22"/>
        </w:rPr>
        <w:t xml:space="preserve">EPA Method 9 is required for VE testing, pursuant to Permit No. PSD-FL-146 and </w:t>
      </w:r>
      <w:r w:rsidR="005F6412">
        <w:rPr>
          <w:sz w:val="22"/>
          <w:szCs w:val="22"/>
        </w:rPr>
        <w:t xml:space="preserve">Permit No. 0850001-016-AC/PSD-FL-327B and 146C, Specific Condition 10.  Language from 40 CFR 60.11(b) that incorporates EPA Method 9, as described in Appendix A of 40 CFR 60, is redundant.  Therefore, Specific Condition </w:t>
      </w:r>
      <w:r w:rsidR="005F6412">
        <w:rPr>
          <w:b/>
          <w:sz w:val="22"/>
          <w:szCs w:val="22"/>
        </w:rPr>
        <w:t>B.50</w:t>
      </w:r>
      <w:r w:rsidR="005F6412">
        <w:rPr>
          <w:sz w:val="22"/>
          <w:szCs w:val="22"/>
        </w:rPr>
        <w:t xml:space="preserve"> (formerly </w:t>
      </w:r>
      <w:r w:rsidR="005F6412">
        <w:rPr>
          <w:b/>
          <w:sz w:val="22"/>
          <w:szCs w:val="22"/>
        </w:rPr>
        <w:t>B.36</w:t>
      </w:r>
      <w:r w:rsidR="005F6412">
        <w:rPr>
          <w:sz w:val="22"/>
          <w:szCs w:val="22"/>
        </w:rPr>
        <w:t xml:space="preserve"> of Permit No. 0850001-040-AV)</w:t>
      </w:r>
      <w:r w:rsidR="00C23E02">
        <w:rPr>
          <w:sz w:val="22"/>
          <w:szCs w:val="22"/>
        </w:rPr>
        <w:t xml:space="preserve"> has been deleted</w:t>
      </w:r>
      <w:r w:rsidR="005F6412">
        <w:rPr>
          <w:sz w:val="22"/>
          <w:szCs w:val="22"/>
        </w:rPr>
        <w:t>.</w:t>
      </w:r>
    </w:p>
    <w:p w:rsidR="00C23E02" w:rsidRDefault="00C23E02" w:rsidP="003A2876">
      <w:pPr>
        <w:pStyle w:val="ListParagraph"/>
        <w:numPr>
          <w:ilvl w:val="0"/>
          <w:numId w:val="1"/>
        </w:numPr>
        <w:tabs>
          <w:tab w:val="left" w:pos="360"/>
        </w:tabs>
        <w:spacing w:after="120"/>
        <w:contextualSpacing w:val="0"/>
        <w:rPr>
          <w:sz w:val="22"/>
          <w:szCs w:val="22"/>
        </w:rPr>
      </w:pPr>
      <w:r>
        <w:rPr>
          <w:sz w:val="22"/>
          <w:szCs w:val="22"/>
        </w:rPr>
        <w:t xml:space="preserve">To reflect revisions in made to </w:t>
      </w:r>
      <w:r>
        <w:rPr>
          <w:b/>
          <w:sz w:val="22"/>
          <w:szCs w:val="22"/>
          <w:u w:val="single"/>
        </w:rPr>
        <w:t>Recordkeeping and Reporting Requirements</w:t>
      </w:r>
      <w:r>
        <w:rPr>
          <w:sz w:val="22"/>
          <w:szCs w:val="22"/>
        </w:rPr>
        <w:t xml:space="preserve"> and current Title V air operation permit format standards, Specific Condition </w:t>
      </w:r>
      <w:r>
        <w:rPr>
          <w:b/>
          <w:sz w:val="22"/>
          <w:szCs w:val="22"/>
        </w:rPr>
        <w:t>B.51</w:t>
      </w:r>
      <w:r>
        <w:rPr>
          <w:sz w:val="22"/>
          <w:szCs w:val="22"/>
        </w:rPr>
        <w:t xml:space="preserve"> (formerly </w:t>
      </w:r>
      <w:r>
        <w:rPr>
          <w:b/>
          <w:sz w:val="22"/>
          <w:szCs w:val="22"/>
        </w:rPr>
        <w:t>B.37</w:t>
      </w:r>
      <w:r>
        <w:rPr>
          <w:sz w:val="22"/>
          <w:szCs w:val="22"/>
        </w:rPr>
        <w:t xml:space="preserve"> of Permit No. 0850001-040-AV) has been revised as follows:</w:t>
      </w:r>
    </w:p>
    <w:p w:rsidR="00C23E02" w:rsidRPr="00C23E02" w:rsidRDefault="00C23E02" w:rsidP="006475B9">
      <w:pPr>
        <w:numPr>
          <w:ilvl w:val="0"/>
          <w:numId w:val="58"/>
        </w:numPr>
        <w:tabs>
          <w:tab w:val="left" w:pos="1080"/>
        </w:tabs>
        <w:spacing w:after="120"/>
        <w:ind w:left="720"/>
        <w:rPr>
          <w:sz w:val="22"/>
          <w:szCs w:val="22"/>
        </w:rPr>
      </w:pPr>
      <w:r w:rsidRPr="00C23E02">
        <w:rPr>
          <w:sz w:val="22"/>
          <w:szCs w:val="22"/>
          <w:u w:val="single"/>
        </w:rPr>
        <w:t>Reporting Schedule</w:t>
      </w:r>
      <w:r w:rsidRPr="00C23E02">
        <w:rPr>
          <w:sz w:val="22"/>
          <w:szCs w:val="22"/>
        </w:rPr>
        <w:t>.  The following reports and notifications shall be submitted to the Compliance Authority:</w:t>
      </w:r>
    </w:p>
    <w:tbl>
      <w:tblPr>
        <w:tblW w:w="9270" w:type="dxa"/>
        <w:tblInd w:w="7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27"/>
        <w:gridCol w:w="2733"/>
        <w:gridCol w:w="2610"/>
      </w:tblGrid>
      <w:tr w:rsidR="00C23E02" w:rsidRPr="00C23E02" w:rsidTr="00C23E02">
        <w:tc>
          <w:tcPr>
            <w:tcW w:w="3927" w:type="dxa"/>
            <w:tcBorders>
              <w:top w:val="single" w:sz="12" w:space="0" w:color="auto"/>
              <w:bottom w:val="single" w:sz="12" w:space="0" w:color="auto"/>
            </w:tcBorders>
            <w:vAlign w:val="center"/>
          </w:tcPr>
          <w:p w:rsidR="00C23E02" w:rsidRPr="00C23E02" w:rsidRDefault="00C23E02" w:rsidP="00C23E02">
            <w:pPr>
              <w:tabs>
                <w:tab w:val="left" w:pos="360"/>
                <w:tab w:val="left" w:pos="720"/>
                <w:tab w:val="left" w:pos="1080"/>
                <w:tab w:val="left" w:pos="1440"/>
                <w:tab w:val="left" w:pos="1800"/>
                <w:tab w:val="left" w:pos="2160"/>
              </w:tabs>
              <w:spacing w:line="-240" w:lineRule="auto"/>
              <w:rPr>
                <w:b/>
                <w:sz w:val="22"/>
                <w:szCs w:val="22"/>
              </w:rPr>
            </w:pPr>
            <w:r w:rsidRPr="00C23E02">
              <w:rPr>
                <w:b/>
                <w:sz w:val="22"/>
                <w:szCs w:val="22"/>
              </w:rPr>
              <w:t>Report</w:t>
            </w:r>
          </w:p>
        </w:tc>
        <w:tc>
          <w:tcPr>
            <w:tcW w:w="2733" w:type="dxa"/>
            <w:tcBorders>
              <w:top w:val="single" w:sz="12" w:space="0" w:color="auto"/>
              <w:bottom w:val="single" w:sz="12" w:space="0" w:color="auto"/>
            </w:tcBorders>
            <w:vAlign w:val="center"/>
          </w:tcPr>
          <w:p w:rsidR="00C23E02" w:rsidRPr="00C23E02" w:rsidRDefault="00C23E02" w:rsidP="00C23E02">
            <w:pPr>
              <w:tabs>
                <w:tab w:val="left" w:pos="360"/>
                <w:tab w:val="left" w:pos="720"/>
                <w:tab w:val="left" w:pos="1080"/>
                <w:tab w:val="left" w:pos="1440"/>
                <w:tab w:val="left" w:pos="1800"/>
                <w:tab w:val="left" w:pos="2160"/>
              </w:tabs>
              <w:spacing w:line="-240" w:lineRule="auto"/>
              <w:rPr>
                <w:b/>
                <w:sz w:val="22"/>
                <w:szCs w:val="22"/>
              </w:rPr>
            </w:pPr>
            <w:r w:rsidRPr="00C23E02">
              <w:rPr>
                <w:b/>
                <w:sz w:val="22"/>
                <w:szCs w:val="22"/>
              </w:rPr>
              <w:t>Reporting Deadline</w:t>
            </w:r>
          </w:p>
        </w:tc>
        <w:tc>
          <w:tcPr>
            <w:tcW w:w="2610" w:type="dxa"/>
            <w:tcBorders>
              <w:top w:val="single" w:sz="12" w:space="0" w:color="auto"/>
              <w:bottom w:val="single" w:sz="12" w:space="0" w:color="auto"/>
            </w:tcBorders>
            <w:vAlign w:val="center"/>
          </w:tcPr>
          <w:p w:rsidR="00C23E02" w:rsidRPr="00C23E02" w:rsidRDefault="00C23E02" w:rsidP="00C23E02">
            <w:pPr>
              <w:tabs>
                <w:tab w:val="left" w:pos="360"/>
                <w:tab w:val="left" w:pos="720"/>
                <w:tab w:val="left" w:pos="1080"/>
                <w:tab w:val="left" w:pos="1440"/>
                <w:tab w:val="left" w:pos="1800"/>
                <w:tab w:val="left" w:pos="2160"/>
              </w:tabs>
              <w:spacing w:line="-240" w:lineRule="auto"/>
              <w:rPr>
                <w:b/>
                <w:sz w:val="22"/>
                <w:szCs w:val="22"/>
              </w:rPr>
            </w:pPr>
            <w:r w:rsidRPr="00C23E02">
              <w:rPr>
                <w:b/>
                <w:sz w:val="22"/>
                <w:szCs w:val="22"/>
              </w:rPr>
              <w:t>Related Condition(s)</w:t>
            </w:r>
          </w:p>
        </w:tc>
      </w:tr>
      <w:tr w:rsidR="00C23E02" w:rsidRPr="00C23E02" w:rsidTr="00C23E02">
        <w:tc>
          <w:tcPr>
            <w:tcW w:w="3927" w:type="dxa"/>
            <w:tcBorders>
              <w:top w:val="single" w:sz="12" w:space="0" w:color="auto"/>
            </w:tcBorders>
            <w:vAlign w:val="center"/>
          </w:tcPr>
          <w:p w:rsidR="00C23E02" w:rsidRPr="00C23E02" w:rsidRDefault="00C23E02" w:rsidP="00C23E02">
            <w:pPr>
              <w:pStyle w:val="BodyText"/>
              <w:spacing w:before="60" w:after="60"/>
              <w:ind w:right="144"/>
              <w:rPr>
                <w:sz w:val="22"/>
                <w:szCs w:val="22"/>
                <w:highlight w:val="yellow"/>
              </w:rPr>
            </w:pPr>
            <w:r w:rsidRPr="00C23E02">
              <w:rPr>
                <w:sz w:val="22"/>
                <w:szCs w:val="22"/>
              </w:rPr>
              <w:t>NSPS 40 CFR 60 Subpart GG Reports</w:t>
            </w:r>
          </w:p>
        </w:tc>
        <w:tc>
          <w:tcPr>
            <w:tcW w:w="2733" w:type="dxa"/>
            <w:tcBorders>
              <w:top w:val="single" w:sz="12" w:space="0" w:color="auto"/>
            </w:tcBorders>
            <w:vAlign w:val="center"/>
          </w:tcPr>
          <w:p w:rsidR="00C23E02" w:rsidRPr="00C23E02" w:rsidRDefault="00C23E02" w:rsidP="00C23E02">
            <w:pPr>
              <w:suppressAutoHyphens/>
              <w:spacing w:before="60" w:after="60"/>
              <w:ind w:right="144"/>
              <w:rPr>
                <w:sz w:val="22"/>
                <w:szCs w:val="22"/>
                <w:highlight w:val="yellow"/>
              </w:rPr>
            </w:pPr>
            <w:r w:rsidRPr="00C23E02">
              <w:rPr>
                <w:strike/>
                <w:sz w:val="22"/>
                <w:szCs w:val="22"/>
                <w:highlight w:val="yellow"/>
              </w:rPr>
              <w:t>Quarterly</w:t>
            </w:r>
            <w:r w:rsidRPr="00C23E02">
              <w:rPr>
                <w:sz w:val="22"/>
                <w:szCs w:val="22"/>
              </w:rPr>
              <w:t xml:space="preserve"> </w:t>
            </w:r>
            <w:r w:rsidRPr="00C23E02">
              <w:rPr>
                <w:sz w:val="22"/>
                <w:szCs w:val="22"/>
                <w:highlight w:val="yellow"/>
                <w:u w:val="double"/>
              </w:rPr>
              <w:t>Semiannually</w:t>
            </w:r>
            <w:r w:rsidRPr="00C23E02">
              <w:rPr>
                <w:sz w:val="22"/>
                <w:szCs w:val="22"/>
              </w:rPr>
              <w:t>.</w:t>
            </w:r>
          </w:p>
        </w:tc>
        <w:tc>
          <w:tcPr>
            <w:tcW w:w="2610" w:type="dxa"/>
            <w:tcBorders>
              <w:top w:val="single" w:sz="12" w:space="0" w:color="auto"/>
            </w:tcBorders>
            <w:vAlign w:val="center"/>
          </w:tcPr>
          <w:p w:rsidR="00C23E02" w:rsidRPr="00C23E02" w:rsidRDefault="00C23E02" w:rsidP="00C23E02">
            <w:pPr>
              <w:pStyle w:val="BodyText"/>
              <w:spacing w:before="60" w:after="60"/>
              <w:ind w:right="144"/>
              <w:rPr>
                <w:sz w:val="22"/>
                <w:szCs w:val="22"/>
              </w:rPr>
            </w:pPr>
            <w:r w:rsidRPr="00C23E02">
              <w:rPr>
                <w:b/>
                <w:strike/>
                <w:sz w:val="22"/>
                <w:szCs w:val="22"/>
                <w:highlight w:val="yellow"/>
              </w:rPr>
              <w:t>B.41</w:t>
            </w:r>
            <w:r w:rsidRPr="00C23E02">
              <w:rPr>
                <w:b/>
                <w:sz w:val="22"/>
                <w:szCs w:val="22"/>
              </w:rPr>
              <w:t xml:space="preserve"> </w:t>
            </w:r>
            <w:r w:rsidR="00DA0082">
              <w:rPr>
                <w:b/>
                <w:sz w:val="22"/>
                <w:szCs w:val="22"/>
                <w:highlight w:val="yellow"/>
                <w:u w:val="double"/>
              </w:rPr>
              <w:t>B.55</w:t>
            </w:r>
          </w:p>
        </w:tc>
      </w:tr>
      <w:tr w:rsidR="00C23E02" w:rsidRPr="00C23E02" w:rsidTr="00C23E02">
        <w:tc>
          <w:tcPr>
            <w:tcW w:w="3927" w:type="dxa"/>
            <w:vAlign w:val="center"/>
          </w:tcPr>
          <w:p w:rsidR="00C23E02" w:rsidRPr="00C23E02" w:rsidRDefault="00C23E02" w:rsidP="00C23E02">
            <w:pPr>
              <w:pStyle w:val="BodyText"/>
              <w:spacing w:before="60" w:after="60"/>
              <w:ind w:right="144"/>
              <w:rPr>
                <w:strike/>
                <w:sz w:val="22"/>
                <w:szCs w:val="22"/>
                <w:highlight w:val="yellow"/>
              </w:rPr>
            </w:pPr>
            <w:r w:rsidRPr="00C23E02">
              <w:rPr>
                <w:strike/>
                <w:sz w:val="22"/>
                <w:szCs w:val="22"/>
                <w:highlight w:val="yellow"/>
              </w:rPr>
              <w:t>Notice of Operational Changes</w:t>
            </w:r>
          </w:p>
        </w:tc>
        <w:tc>
          <w:tcPr>
            <w:tcW w:w="2733" w:type="dxa"/>
            <w:vAlign w:val="center"/>
          </w:tcPr>
          <w:p w:rsidR="00C23E02" w:rsidRPr="00C23E02" w:rsidRDefault="00C23E02" w:rsidP="00C23E02">
            <w:pPr>
              <w:suppressAutoHyphens/>
              <w:spacing w:before="60" w:after="60"/>
              <w:ind w:right="144"/>
              <w:rPr>
                <w:strike/>
                <w:sz w:val="22"/>
                <w:szCs w:val="22"/>
                <w:highlight w:val="yellow"/>
              </w:rPr>
            </w:pPr>
            <w:r w:rsidRPr="00C23E02">
              <w:rPr>
                <w:strike/>
                <w:sz w:val="22"/>
                <w:szCs w:val="22"/>
                <w:highlight w:val="yellow"/>
              </w:rPr>
              <w:t>60 days prior to change.</w:t>
            </w:r>
          </w:p>
        </w:tc>
        <w:tc>
          <w:tcPr>
            <w:tcW w:w="2610" w:type="dxa"/>
            <w:vAlign w:val="center"/>
          </w:tcPr>
          <w:p w:rsidR="00C23E02" w:rsidRPr="00C23E02" w:rsidRDefault="00C23E02" w:rsidP="00C23E02">
            <w:pPr>
              <w:pStyle w:val="BodyText"/>
              <w:spacing w:before="60" w:after="60"/>
              <w:ind w:right="144"/>
              <w:rPr>
                <w:strike/>
                <w:sz w:val="22"/>
                <w:szCs w:val="22"/>
                <w:highlight w:val="yellow"/>
              </w:rPr>
            </w:pPr>
            <w:r w:rsidRPr="00C23E02">
              <w:rPr>
                <w:b/>
                <w:strike/>
                <w:sz w:val="22"/>
                <w:szCs w:val="22"/>
                <w:highlight w:val="yellow"/>
              </w:rPr>
              <w:t>B.43</w:t>
            </w:r>
          </w:p>
        </w:tc>
      </w:tr>
      <w:tr w:rsidR="00C23E02" w:rsidRPr="00C23E02" w:rsidTr="00C23E02">
        <w:tc>
          <w:tcPr>
            <w:tcW w:w="3927" w:type="dxa"/>
            <w:vAlign w:val="center"/>
          </w:tcPr>
          <w:p w:rsidR="00C23E02" w:rsidRPr="00C23E02" w:rsidRDefault="00C23E02" w:rsidP="00C23E02">
            <w:pPr>
              <w:pStyle w:val="BodyText"/>
              <w:spacing w:before="60" w:after="60"/>
              <w:ind w:right="144"/>
              <w:rPr>
                <w:strike/>
                <w:sz w:val="22"/>
                <w:szCs w:val="22"/>
                <w:highlight w:val="yellow"/>
              </w:rPr>
            </w:pPr>
            <w:r w:rsidRPr="00C23E02">
              <w:rPr>
                <w:strike/>
                <w:sz w:val="22"/>
                <w:szCs w:val="22"/>
                <w:highlight w:val="yellow"/>
              </w:rPr>
              <w:t>Performance Reports</w:t>
            </w:r>
          </w:p>
        </w:tc>
        <w:tc>
          <w:tcPr>
            <w:tcW w:w="2733" w:type="dxa"/>
            <w:vAlign w:val="center"/>
          </w:tcPr>
          <w:p w:rsidR="00C23E02" w:rsidRPr="00C23E02" w:rsidRDefault="00C23E02" w:rsidP="00C23E02">
            <w:pPr>
              <w:suppressAutoHyphens/>
              <w:spacing w:before="60" w:after="60"/>
              <w:ind w:right="144"/>
              <w:rPr>
                <w:strike/>
                <w:sz w:val="22"/>
                <w:szCs w:val="22"/>
                <w:highlight w:val="yellow"/>
              </w:rPr>
            </w:pPr>
            <w:r w:rsidRPr="00C23E02">
              <w:rPr>
                <w:strike/>
                <w:sz w:val="22"/>
                <w:szCs w:val="22"/>
                <w:highlight w:val="yellow"/>
              </w:rPr>
              <w:t>Semi-annually</w:t>
            </w:r>
          </w:p>
        </w:tc>
        <w:tc>
          <w:tcPr>
            <w:tcW w:w="2610" w:type="dxa"/>
            <w:vAlign w:val="center"/>
          </w:tcPr>
          <w:p w:rsidR="00C23E02" w:rsidRPr="00C23E02" w:rsidRDefault="00C23E02" w:rsidP="00C23E02">
            <w:pPr>
              <w:pStyle w:val="BodyText"/>
              <w:spacing w:before="60" w:after="60"/>
              <w:ind w:right="144"/>
              <w:rPr>
                <w:strike/>
                <w:sz w:val="22"/>
                <w:szCs w:val="22"/>
                <w:highlight w:val="yellow"/>
              </w:rPr>
            </w:pPr>
            <w:r w:rsidRPr="00C23E02">
              <w:rPr>
                <w:b/>
                <w:strike/>
                <w:sz w:val="22"/>
                <w:szCs w:val="22"/>
                <w:highlight w:val="yellow"/>
              </w:rPr>
              <w:t>B.45</w:t>
            </w:r>
          </w:p>
        </w:tc>
      </w:tr>
    </w:tbl>
    <w:p w:rsidR="00C23E02" w:rsidRPr="00C23E02" w:rsidRDefault="00C23E02" w:rsidP="00C23E02">
      <w:pPr>
        <w:spacing w:after="120"/>
        <w:ind w:left="720"/>
        <w:rPr>
          <w:sz w:val="22"/>
          <w:szCs w:val="22"/>
          <w:u w:val="double"/>
        </w:rPr>
      </w:pPr>
      <w:r w:rsidRPr="00C23E02">
        <w:rPr>
          <w:sz w:val="22"/>
          <w:szCs w:val="22"/>
          <w:highlight w:val="yellow"/>
          <w:u w:val="double"/>
        </w:rPr>
        <w:t>[Rule 62-213.440(1)(b), F.A.C.]</w:t>
      </w:r>
    </w:p>
    <w:p w:rsidR="00C23E02" w:rsidRDefault="00DA0082" w:rsidP="003A2876">
      <w:pPr>
        <w:pStyle w:val="ListParagraph"/>
        <w:numPr>
          <w:ilvl w:val="0"/>
          <w:numId w:val="1"/>
        </w:numPr>
        <w:tabs>
          <w:tab w:val="left" w:pos="360"/>
        </w:tabs>
        <w:spacing w:after="120"/>
        <w:contextualSpacing w:val="0"/>
        <w:rPr>
          <w:sz w:val="22"/>
          <w:szCs w:val="22"/>
        </w:rPr>
      </w:pPr>
      <w:r>
        <w:rPr>
          <w:sz w:val="22"/>
          <w:szCs w:val="22"/>
        </w:rPr>
        <w:t xml:space="preserve">Permit No. 0850001-041-AC/PSD-FL-146J and 327G authorized the permittee to submit quarterly excess emission reports on a semiannual basis.  Because this condition requires reporting in accordance with NSPS Subparts A and GG, Specific Conditions </w:t>
      </w:r>
      <w:r>
        <w:rPr>
          <w:b/>
          <w:sz w:val="22"/>
          <w:szCs w:val="22"/>
        </w:rPr>
        <w:t>B.42</w:t>
      </w:r>
      <w:r>
        <w:rPr>
          <w:sz w:val="22"/>
          <w:szCs w:val="22"/>
        </w:rPr>
        <w:t xml:space="preserve"> and </w:t>
      </w:r>
      <w:r>
        <w:rPr>
          <w:b/>
          <w:sz w:val="22"/>
          <w:szCs w:val="22"/>
        </w:rPr>
        <w:t>B.45</w:t>
      </w:r>
      <w:r>
        <w:rPr>
          <w:sz w:val="22"/>
          <w:szCs w:val="22"/>
        </w:rPr>
        <w:t xml:space="preserve"> of Permit No. 0850001-040-AV have been combined into Specific Condition </w:t>
      </w:r>
      <w:r>
        <w:rPr>
          <w:b/>
          <w:sz w:val="22"/>
          <w:szCs w:val="22"/>
        </w:rPr>
        <w:t>B.55</w:t>
      </w:r>
      <w:r>
        <w:rPr>
          <w:sz w:val="22"/>
          <w:szCs w:val="22"/>
        </w:rPr>
        <w:t>, which appears as follows:</w:t>
      </w:r>
    </w:p>
    <w:p w:rsidR="00DA0082" w:rsidRPr="00DA0082" w:rsidRDefault="00DA0082" w:rsidP="006475B9">
      <w:pPr>
        <w:numPr>
          <w:ilvl w:val="0"/>
          <w:numId w:val="60"/>
        </w:numPr>
        <w:tabs>
          <w:tab w:val="left" w:pos="1080"/>
        </w:tabs>
        <w:ind w:left="720"/>
        <w:rPr>
          <w:sz w:val="22"/>
        </w:rPr>
      </w:pPr>
      <w:bookmarkStart w:id="29" w:name="_Ref503508438"/>
      <w:r w:rsidRPr="00DA0082">
        <w:rPr>
          <w:strike/>
          <w:sz w:val="22"/>
          <w:szCs w:val="22"/>
          <w:highlight w:val="yellow"/>
          <w:u w:val="single"/>
        </w:rPr>
        <w:t>Quarterly</w:t>
      </w:r>
      <w:r w:rsidRPr="00DA0082">
        <w:rPr>
          <w:sz w:val="22"/>
          <w:szCs w:val="22"/>
          <w:u w:val="single"/>
        </w:rPr>
        <w:t xml:space="preserve"> </w:t>
      </w:r>
      <w:r w:rsidRPr="00DA0082">
        <w:rPr>
          <w:sz w:val="22"/>
          <w:szCs w:val="22"/>
          <w:highlight w:val="yellow"/>
          <w:u w:val="double"/>
        </w:rPr>
        <w:t>Semiannual</w:t>
      </w:r>
      <w:r w:rsidRPr="00DA0082">
        <w:rPr>
          <w:sz w:val="22"/>
          <w:szCs w:val="22"/>
          <w:u w:val="single"/>
        </w:rPr>
        <w:t xml:space="preserve"> Reports</w:t>
      </w:r>
      <w:r w:rsidRPr="00DA0082">
        <w:rPr>
          <w:sz w:val="22"/>
          <w:szCs w:val="22"/>
        </w:rPr>
        <w:t xml:space="preserve">.  </w:t>
      </w:r>
      <w:r w:rsidRPr="00DA0082">
        <w:rPr>
          <w:strike/>
          <w:sz w:val="22"/>
          <w:szCs w:val="22"/>
          <w:highlight w:val="yellow"/>
        </w:rPr>
        <w:t>Quarterly</w:t>
      </w:r>
      <w:r w:rsidRPr="00DA0082">
        <w:rPr>
          <w:sz w:val="22"/>
          <w:szCs w:val="22"/>
        </w:rPr>
        <w:t xml:space="preserve"> </w:t>
      </w:r>
      <w:r w:rsidRPr="00DA0082">
        <w:rPr>
          <w:sz w:val="22"/>
          <w:szCs w:val="22"/>
          <w:highlight w:val="yellow"/>
          <w:u w:val="double"/>
        </w:rPr>
        <w:t>Semiannual</w:t>
      </w:r>
      <w:r w:rsidRPr="00DA0082">
        <w:rPr>
          <w:sz w:val="22"/>
          <w:szCs w:val="22"/>
        </w:rPr>
        <w:t xml:space="preserve"> excess emission reports, in accordance with 40 CFR 60.7 and 60.334, shall be submitted to the </w:t>
      </w:r>
      <w:r w:rsidRPr="00DA0082">
        <w:rPr>
          <w:sz w:val="22"/>
          <w:szCs w:val="22"/>
          <w:highlight w:val="yellow"/>
          <w:u w:val="double"/>
        </w:rPr>
        <w:t>Compliance Authority</w:t>
      </w:r>
      <w:r w:rsidRPr="00DA0082">
        <w:rPr>
          <w:sz w:val="22"/>
          <w:szCs w:val="22"/>
        </w:rPr>
        <w:t xml:space="preserve"> </w:t>
      </w:r>
      <w:r w:rsidRPr="00DA0082">
        <w:rPr>
          <w:strike/>
          <w:sz w:val="22"/>
          <w:szCs w:val="22"/>
          <w:highlight w:val="yellow"/>
        </w:rPr>
        <w:t>Department’s Southeast District Office</w:t>
      </w:r>
      <w:r w:rsidRPr="00DA0082">
        <w:rPr>
          <w:sz w:val="22"/>
          <w:szCs w:val="22"/>
        </w:rPr>
        <w:t xml:space="preserve">.  Annual reports shall be submitted to the </w:t>
      </w:r>
      <w:r w:rsidRPr="00DA0082">
        <w:rPr>
          <w:strike/>
          <w:sz w:val="22"/>
          <w:szCs w:val="22"/>
          <w:highlight w:val="yellow"/>
        </w:rPr>
        <w:t>District</w:t>
      </w:r>
      <w:r w:rsidRPr="00DA0082">
        <w:rPr>
          <w:sz w:val="22"/>
          <w:szCs w:val="22"/>
          <w:highlight w:val="yellow"/>
        </w:rPr>
        <w:t xml:space="preserve"> </w:t>
      </w:r>
      <w:r w:rsidRPr="00DA0082">
        <w:rPr>
          <w:sz w:val="22"/>
          <w:szCs w:val="22"/>
          <w:highlight w:val="yellow"/>
          <w:u w:val="double"/>
        </w:rPr>
        <w:t>Compliance Authority</w:t>
      </w:r>
      <w:r w:rsidRPr="00DA0082">
        <w:rPr>
          <w:sz w:val="22"/>
          <w:szCs w:val="22"/>
        </w:rPr>
        <w:t xml:space="preserve"> office in accordance with </w:t>
      </w:r>
      <w:r w:rsidRPr="00DA0082">
        <w:rPr>
          <w:strike/>
          <w:sz w:val="22"/>
          <w:szCs w:val="22"/>
          <w:highlight w:val="yellow"/>
        </w:rPr>
        <w:t>Rule 62-2.700(7), F.A.C.</w:t>
      </w:r>
      <w:r w:rsidRPr="00DA0082">
        <w:rPr>
          <w:sz w:val="22"/>
          <w:szCs w:val="22"/>
          <w:highlight w:val="yellow"/>
        </w:rPr>
        <w:t xml:space="preserve"> </w:t>
      </w:r>
      <w:r w:rsidRPr="00DA0082">
        <w:rPr>
          <w:sz w:val="22"/>
          <w:szCs w:val="22"/>
          <w:highlight w:val="yellow"/>
          <w:u w:val="double"/>
        </w:rPr>
        <w:t xml:space="preserve">Condition </w:t>
      </w:r>
      <w:r w:rsidRPr="00DA0082">
        <w:rPr>
          <w:b/>
          <w:sz w:val="22"/>
          <w:szCs w:val="22"/>
          <w:highlight w:val="yellow"/>
          <w:u w:val="double"/>
        </w:rPr>
        <w:t>TR9.</w:t>
      </w:r>
      <w:r w:rsidRPr="00DA0082">
        <w:rPr>
          <w:sz w:val="22"/>
          <w:szCs w:val="22"/>
          <w:highlight w:val="yellow"/>
          <w:u w:val="double"/>
        </w:rPr>
        <w:t xml:space="preserve"> in Appendix TR – Facility-wide Testing Requirements.  Semiannual reports shall be postmarked by the 30</w:t>
      </w:r>
      <w:r w:rsidRPr="00DA0082">
        <w:rPr>
          <w:sz w:val="22"/>
          <w:szCs w:val="22"/>
          <w:highlight w:val="yellow"/>
          <w:u w:val="double"/>
          <w:vertAlign w:val="superscript"/>
        </w:rPr>
        <w:t>th</w:t>
      </w:r>
      <w:r w:rsidRPr="00DA0082">
        <w:rPr>
          <w:sz w:val="22"/>
          <w:szCs w:val="22"/>
          <w:highlight w:val="yellow"/>
          <w:u w:val="double"/>
        </w:rPr>
        <w:t xml:space="preserve"> day following the end of each 6-month period.  Each semiannual report shall include the following:</w:t>
      </w:r>
    </w:p>
    <w:p w:rsidR="00DA0082" w:rsidRPr="00DA0082" w:rsidRDefault="00DA0082" w:rsidP="006475B9">
      <w:pPr>
        <w:numPr>
          <w:ilvl w:val="0"/>
          <w:numId w:val="59"/>
        </w:numPr>
        <w:spacing w:after="120"/>
        <w:contextualSpacing/>
        <w:rPr>
          <w:sz w:val="22"/>
          <w:highlight w:val="yellow"/>
          <w:u w:val="double"/>
        </w:rPr>
      </w:pPr>
      <w:r w:rsidRPr="00DA0082">
        <w:rPr>
          <w:sz w:val="22"/>
          <w:szCs w:val="22"/>
          <w:highlight w:val="yellow"/>
          <w:u w:val="double"/>
        </w:rPr>
        <w:t>The magnitude of excess emissions computed in accordance with 40 CFR 60.13(h), any conversion factor(s) used, and the date and time of commencement and completion of each time period of excess emissions.  The process operating time during the reporting period.</w:t>
      </w:r>
    </w:p>
    <w:p w:rsidR="00DA0082" w:rsidRPr="00DA0082" w:rsidRDefault="00DA0082" w:rsidP="006475B9">
      <w:pPr>
        <w:numPr>
          <w:ilvl w:val="0"/>
          <w:numId w:val="59"/>
        </w:numPr>
        <w:spacing w:after="120"/>
        <w:contextualSpacing/>
        <w:rPr>
          <w:sz w:val="22"/>
          <w:highlight w:val="yellow"/>
          <w:u w:val="double"/>
        </w:rPr>
      </w:pPr>
      <w:r w:rsidRPr="00DA0082">
        <w:rPr>
          <w:sz w:val="22"/>
          <w:szCs w:val="22"/>
          <w:highlight w:val="yellow"/>
          <w:u w:val="double"/>
        </w:rPr>
        <w:t>Specific identification of each period of excess emissions that occurs during startups, shutdowns, and malfunctions of the affected facility.  The nature and cause of any malfunction (if known), the corrective action taken or preventative measures adopted.</w:t>
      </w:r>
    </w:p>
    <w:p w:rsidR="00DA0082" w:rsidRPr="00DA0082" w:rsidRDefault="00DA0082" w:rsidP="006475B9">
      <w:pPr>
        <w:numPr>
          <w:ilvl w:val="0"/>
          <w:numId w:val="59"/>
        </w:numPr>
        <w:spacing w:after="120"/>
        <w:contextualSpacing/>
        <w:rPr>
          <w:sz w:val="22"/>
          <w:highlight w:val="yellow"/>
          <w:u w:val="double"/>
        </w:rPr>
      </w:pPr>
      <w:r w:rsidRPr="00DA0082">
        <w:rPr>
          <w:sz w:val="22"/>
          <w:szCs w:val="22"/>
          <w:highlight w:val="yellow"/>
          <w:u w:val="double"/>
        </w:rPr>
        <w:t>The date and time identifying each period during which the continuous monitoring system was inoperative except for zero and span checks and the nature of the system repairs or adjustments.</w:t>
      </w:r>
    </w:p>
    <w:p w:rsidR="00DA0082" w:rsidRPr="00DA0082" w:rsidRDefault="00DA0082" w:rsidP="006475B9">
      <w:pPr>
        <w:numPr>
          <w:ilvl w:val="0"/>
          <w:numId w:val="59"/>
        </w:numPr>
        <w:contextualSpacing/>
        <w:rPr>
          <w:sz w:val="22"/>
          <w:highlight w:val="yellow"/>
          <w:u w:val="double"/>
        </w:rPr>
      </w:pPr>
      <w:r w:rsidRPr="00DA0082">
        <w:rPr>
          <w:sz w:val="22"/>
          <w:szCs w:val="22"/>
          <w:highlight w:val="yellow"/>
          <w:u w:val="double"/>
        </w:rPr>
        <w:t>When no excess emissions have occurred or the continuous monitoring system(s) have not been inoperative, repaired, or adjusted, such information shall be stated in the report.</w:t>
      </w:r>
    </w:p>
    <w:p w:rsidR="00DA0082" w:rsidRPr="00DA0082" w:rsidRDefault="00DA0082" w:rsidP="006475B9">
      <w:pPr>
        <w:numPr>
          <w:ilvl w:val="0"/>
          <w:numId w:val="59"/>
        </w:numPr>
        <w:contextualSpacing/>
        <w:rPr>
          <w:sz w:val="22"/>
          <w:highlight w:val="yellow"/>
          <w:u w:val="double"/>
        </w:rPr>
      </w:pPr>
      <w:r w:rsidRPr="00DA0082">
        <w:rPr>
          <w:sz w:val="22"/>
          <w:highlight w:val="yellow"/>
          <w:u w:val="double"/>
        </w:rPr>
        <w:t xml:space="preserve">Ambient conditions (temperature, pressure and humidity) at the time of the excess emission period.  If the worst case ISO correction factor, as specified in 40 CFR 60.334(b)(3)(ii), is used; or, if the ISO correction equation under the provisions of 40 CFR 60.335(b)(1) is not used, the ambient conditions do not have to be reported.  </w:t>
      </w:r>
    </w:p>
    <w:p w:rsidR="00DA0082" w:rsidRPr="00DA0082" w:rsidRDefault="00DA0082" w:rsidP="006475B9">
      <w:pPr>
        <w:numPr>
          <w:ilvl w:val="0"/>
          <w:numId w:val="59"/>
        </w:numPr>
        <w:contextualSpacing/>
        <w:rPr>
          <w:sz w:val="22"/>
          <w:highlight w:val="yellow"/>
          <w:u w:val="double"/>
        </w:rPr>
      </w:pPr>
      <w:r w:rsidRPr="00DA0082">
        <w:rPr>
          <w:sz w:val="22"/>
          <w:highlight w:val="yellow"/>
          <w:u w:val="double"/>
        </w:rPr>
        <w:t>The nitrogen content of the fuel during the period of excess emissions (only if the permittee has claimed an emission allowance for fuel bound nitrogen).</w:t>
      </w:r>
    </w:p>
    <w:p w:rsidR="00DA0082" w:rsidRDefault="00DA0082" w:rsidP="00DA0082">
      <w:pPr>
        <w:pStyle w:val="ListParagraph"/>
        <w:tabs>
          <w:tab w:val="left" w:pos="360"/>
        </w:tabs>
        <w:spacing w:after="120"/>
        <w:contextualSpacing w:val="0"/>
        <w:rPr>
          <w:sz w:val="22"/>
          <w:szCs w:val="22"/>
        </w:rPr>
      </w:pPr>
      <w:r w:rsidRPr="00DA0082">
        <w:rPr>
          <w:sz w:val="22"/>
          <w:szCs w:val="22"/>
        </w:rPr>
        <w:t xml:space="preserve">[Permit No. PSD-FL-146, Specific Condition No. 19 </w:t>
      </w:r>
      <w:r w:rsidRPr="00DA0082">
        <w:rPr>
          <w:sz w:val="22"/>
          <w:szCs w:val="22"/>
          <w:highlight w:val="yellow"/>
          <w:u w:val="double"/>
        </w:rPr>
        <w:t>&amp; 0850001-041-AC/PSD-FL-146J &amp; 327G</w:t>
      </w:r>
      <w:r w:rsidRPr="00DA0082">
        <w:rPr>
          <w:sz w:val="22"/>
          <w:szCs w:val="22"/>
        </w:rPr>
        <w:t>]</w:t>
      </w:r>
      <w:bookmarkEnd w:id="29"/>
    </w:p>
    <w:p w:rsidR="00DA0082" w:rsidRDefault="00DA0082" w:rsidP="00DA0082">
      <w:pPr>
        <w:pStyle w:val="ListParagraph"/>
        <w:numPr>
          <w:ilvl w:val="0"/>
          <w:numId w:val="1"/>
        </w:numPr>
        <w:tabs>
          <w:tab w:val="left" w:pos="360"/>
        </w:tabs>
        <w:spacing w:after="120"/>
        <w:contextualSpacing w:val="0"/>
        <w:rPr>
          <w:sz w:val="22"/>
          <w:szCs w:val="22"/>
        </w:rPr>
      </w:pPr>
      <w:r>
        <w:rPr>
          <w:sz w:val="22"/>
          <w:szCs w:val="22"/>
        </w:rPr>
        <w:t xml:space="preserve">Because NSPS reporting is accounted for in Specific Condition </w:t>
      </w:r>
      <w:r>
        <w:rPr>
          <w:b/>
          <w:sz w:val="22"/>
          <w:szCs w:val="22"/>
        </w:rPr>
        <w:t>B.55</w:t>
      </w:r>
      <w:r>
        <w:rPr>
          <w:sz w:val="22"/>
          <w:szCs w:val="22"/>
        </w:rPr>
        <w:t xml:space="preserve">, Specific Condition </w:t>
      </w:r>
      <w:r>
        <w:rPr>
          <w:b/>
          <w:sz w:val="22"/>
          <w:szCs w:val="22"/>
        </w:rPr>
        <w:t>B.56</w:t>
      </w:r>
      <w:r>
        <w:rPr>
          <w:sz w:val="22"/>
          <w:szCs w:val="22"/>
        </w:rPr>
        <w:t xml:space="preserve"> (formerly </w:t>
      </w:r>
      <w:r>
        <w:rPr>
          <w:b/>
          <w:sz w:val="22"/>
          <w:szCs w:val="22"/>
        </w:rPr>
        <w:t>B.42</w:t>
      </w:r>
      <w:r>
        <w:rPr>
          <w:sz w:val="22"/>
          <w:szCs w:val="22"/>
        </w:rPr>
        <w:t xml:space="preserve"> of Permit No. 0850001-040-AV) is obsolete and, therefore, has been deleted.</w:t>
      </w:r>
    </w:p>
    <w:p w:rsidR="00DA0082" w:rsidRDefault="00DA0082" w:rsidP="00DA0082">
      <w:pPr>
        <w:pStyle w:val="ListParagraph"/>
        <w:numPr>
          <w:ilvl w:val="0"/>
          <w:numId w:val="1"/>
        </w:numPr>
        <w:tabs>
          <w:tab w:val="left" w:pos="360"/>
        </w:tabs>
        <w:spacing w:after="120"/>
        <w:contextualSpacing w:val="0"/>
        <w:rPr>
          <w:sz w:val="22"/>
          <w:szCs w:val="22"/>
        </w:rPr>
      </w:pPr>
      <w:r>
        <w:rPr>
          <w:sz w:val="22"/>
          <w:szCs w:val="22"/>
        </w:rPr>
        <w:t xml:space="preserve">Specific Condition </w:t>
      </w:r>
      <w:r>
        <w:rPr>
          <w:b/>
          <w:sz w:val="22"/>
          <w:szCs w:val="22"/>
        </w:rPr>
        <w:t>B.57</w:t>
      </w:r>
      <w:r>
        <w:rPr>
          <w:sz w:val="22"/>
          <w:szCs w:val="22"/>
        </w:rPr>
        <w:t xml:space="preserve"> (formerly </w:t>
      </w:r>
      <w:r>
        <w:rPr>
          <w:b/>
          <w:sz w:val="22"/>
          <w:szCs w:val="22"/>
        </w:rPr>
        <w:t>B.43</w:t>
      </w:r>
      <w:r>
        <w:rPr>
          <w:sz w:val="22"/>
          <w:szCs w:val="22"/>
        </w:rPr>
        <w:t xml:space="preserve"> of Permit No. 0850001-040-AV) </w:t>
      </w:r>
      <w:r w:rsidR="009D7C61">
        <w:rPr>
          <w:sz w:val="22"/>
          <w:szCs w:val="22"/>
        </w:rPr>
        <w:t>incorporates language from 40 CFR 60.7(a)(4), which requires the permittee to notify the Department of any physical or operational change to an existing facility that may increase the emission rate of any air pollutant to which a standard applies, unless exempted in accordance with another NSPS subpart or 40 CFR 60.14(e).  This requirement, while pertinent, is best left in an appendix.  Physical or operational changes that increase emissions will be subject to Department review under the permitting process.  Therefore, this condition is redundant and has been removed from the body of this subsection.</w:t>
      </w:r>
    </w:p>
    <w:p w:rsidR="009D7C61" w:rsidRDefault="009D7C61" w:rsidP="00DA0082">
      <w:pPr>
        <w:pStyle w:val="ListParagraph"/>
        <w:numPr>
          <w:ilvl w:val="0"/>
          <w:numId w:val="1"/>
        </w:numPr>
        <w:tabs>
          <w:tab w:val="left" w:pos="360"/>
        </w:tabs>
        <w:spacing w:after="120"/>
        <w:contextualSpacing w:val="0"/>
        <w:rPr>
          <w:sz w:val="22"/>
          <w:szCs w:val="22"/>
        </w:rPr>
      </w:pPr>
      <w:r>
        <w:rPr>
          <w:sz w:val="22"/>
          <w:szCs w:val="22"/>
        </w:rPr>
        <w:t xml:space="preserve">Specific Condition </w:t>
      </w:r>
      <w:r>
        <w:rPr>
          <w:b/>
          <w:sz w:val="22"/>
          <w:szCs w:val="22"/>
        </w:rPr>
        <w:t>B.61</w:t>
      </w:r>
      <w:r>
        <w:rPr>
          <w:sz w:val="22"/>
          <w:szCs w:val="22"/>
        </w:rPr>
        <w:t xml:space="preserve"> (formerly </w:t>
      </w:r>
      <w:r>
        <w:rPr>
          <w:b/>
          <w:sz w:val="22"/>
          <w:szCs w:val="22"/>
        </w:rPr>
        <w:t>B.47</w:t>
      </w:r>
      <w:r>
        <w:rPr>
          <w:sz w:val="22"/>
          <w:szCs w:val="22"/>
        </w:rPr>
        <w:t xml:space="preserve"> of Permit No. 0850001-040-AV) outlines procedures to reduce reporting frequency to a semiannual basis.  All reporting requirements in Section III., Subsection B are on a semiannual basis.  This condition is redundant and has been deleted.  </w:t>
      </w:r>
    </w:p>
    <w:p w:rsidR="009D7C61" w:rsidRDefault="009D7C61" w:rsidP="00DA0082">
      <w:pPr>
        <w:pStyle w:val="ListParagraph"/>
        <w:numPr>
          <w:ilvl w:val="0"/>
          <w:numId w:val="1"/>
        </w:numPr>
        <w:tabs>
          <w:tab w:val="left" w:pos="360"/>
        </w:tabs>
        <w:spacing w:after="120"/>
        <w:contextualSpacing w:val="0"/>
        <w:rPr>
          <w:sz w:val="22"/>
          <w:szCs w:val="22"/>
        </w:rPr>
      </w:pPr>
      <w:r>
        <w:rPr>
          <w:sz w:val="22"/>
          <w:szCs w:val="22"/>
        </w:rPr>
        <w:t xml:space="preserve">A minor correction was made to Specific Condition </w:t>
      </w:r>
      <w:r>
        <w:rPr>
          <w:b/>
          <w:sz w:val="22"/>
          <w:szCs w:val="22"/>
        </w:rPr>
        <w:t>B.63</w:t>
      </w:r>
      <w:r>
        <w:rPr>
          <w:sz w:val="22"/>
          <w:szCs w:val="22"/>
        </w:rPr>
        <w:t xml:space="preserve"> (formerly </w:t>
      </w:r>
      <w:r>
        <w:rPr>
          <w:b/>
          <w:sz w:val="22"/>
          <w:szCs w:val="22"/>
        </w:rPr>
        <w:t>B.48</w:t>
      </w:r>
      <w:r>
        <w:rPr>
          <w:sz w:val="22"/>
          <w:szCs w:val="22"/>
        </w:rPr>
        <w:t xml:space="preserve"> of Permit No. 0850001-040-AV) as follows:</w:t>
      </w:r>
    </w:p>
    <w:p w:rsidR="009D7C61" w:rsidRDefault="009D7C61" w:rsidP="006475B9">
      <w:pPr>
        <w:pStyle w:val="ListParagraph"/>
        <w:numPr>
          <w:ilvl w:val="0"/>
          <w:numId w:val="61"/>
        </w:numPr>
        <w:tabs>
          <w:tab w:val="left" w:pos="1080"/>
        </w:tabs>
        <w:spacing w:after="120"/>
        <w:contextualSpacing w:val="0"/>
        <w:rPr>
          <w:sz w:val="22"/>
          <w:szCs w:val="22"/>
        </w:rPr>
      </w:pPr>
      <w:r w:rsidRPr="009D7C61">
        <w:rPr>
          <w:sz w:val="22"/>
          <w:szCs w:val="22"/>
          <w:u w:val="single"/>
        </w:rPr>
        <w:t>NSPS Requirements</w:t>
      </w:r>
      <w:r w:rsidRPr="009D7C61">
        <w:rPr>
          <w:sz w:val="22"/>
          <w:szCs w:val="22"/>
        </w:rPr>
        <w:t xml:space="preserve">.  This unit shall comply with all applicable provisions of NSPS in 40 CFR 60 including Subpart A (General Provisions) and Subpart GG (Standards of Performance for Stationary Gas Turbines).  See Appendix NSPS Subpart A and Appendix NSPS Subpart GG for provisions of NSPS Subparts A and </w:t>
      </w:r>
      <w:r w:rsidRPr="009D7C61">
        <w:rPr>
          <w:strike/>
          <w:sz w:val="22"/>
          <w:szCs w:val="22"/>
          <w:highlight w:val="yellow"/>
        </w:rPr>
        <w:t>Dc</w:t>
      </w:r>
      <w:r w:rsidRPr="009D7C61">
        <w:rPr>
          <w:sz w:val="22"/>
          <w:szCs w:val="22"/>
          <w:highlight w:val="yellow"/>
          <w:u w:val="double"/>
        </w:rPr>
        <w:t>GG</w:t>
      </w:r>
      <w:r w:rsidRPr="009D7C61">
        <w:rPr>
          <w:sz w:val="22"/>
          <w:szCs w:val="22"/>
        </w:rPr>
        <w:t>, respectively.  [Rule 62-204.800(8)(b)42. &amp; (8)(d), F.A.C.; and, 40 CFR 60, Subparts A &amp; GG]</w:t>
      </w:r>
    </w:p>
    <w:p w:rsidR="003B64B2" w:rsidRDefault="00B643E1" w:rsidP="003B64B2">
      <w:pPr>
        <w:tabs>
          <w:tab w:val="left" w:pos="1080"/>
        </w:tabs>
        <w:spacing w:after="120"/>
        <w:rPr>
          <w:sz w:val="22"/>
          <w:szCs w:val="22"/>
        </w:rPr>
      </w:pPr>
      <w:r>
        <w:rPr>
          <w:b/>
          <w:sz w:val="22"/>
          <w:szCs w:val="22"/>
          <w:u w:val="single"/>
        </w:rPr>
        <w:t>Changes to Section III., Subsection C.</w:t>
      </w:r>
    </w:p>
    <w:p w:rsidR="00B643E1" w:rsidRDefault="00AF21BB" w:rsidP="00AF21BB">
      <w:pPr>
        <w:pStyle w:val="ListParagraph"/>
        <w:numPr>
          <w:ilvl w:val="0"/>
          <w:numId w:val="1"/>
        </w:numPr>
        <w:tabs>
          <w:tab w:val="left" w:pos="360"/>
        </w:tabs>
        <w:spacing w:after="120"/>
        <w:contextualSpacing w:val="0"/>
        <w:rPr>
          <w:sz w:val="22"/>
          <w:szCs w:val="22"/>
        </w:rPr>
      </w:pPr>
      <w:r>
        <w:rPr>
          <w:sz w:val="22"/>
          <w:szCs w:val="22"/>
        </w:rPr>
        <w:t xml:space="preserve">Specific Condition </w:t>
      </w:r>
      <w:r>
        <w:rPr>
          <w:b/>
          <w:sz w:val="22"/>
          <w:szCs w:val="22"/>
        </w:rPr>
        <w:t>C.13</w:t>
      </w:r>
      <w:r>
        <w:rPr>
          <w:sz w:val="22"/>
          <w:szCs w:val="22"/>
        </w:rPr>
        <w:t xml:space="preserve"> has been removed from </w:t>
      </w:r>
      <w:r>
        <w:rPr>
          <w:b/>
          <w:sz w:val="22"/>
          <w:szCs w:val="22"/>
          <w:u w:val="single"/>
        </w:rPr>
        <w:t>Test Methods and Procedures</w:t>
      </w:r>
      <w:r>
        <w:rPr>
          <w:sz w:val="22"/>
          <w:szCs w:val="22"/>
        </w:rPr>
        <w:t xml:space="preserve"> and added under </w:t>
      </w:r>
      <w:r>
        <w:rPr>
          <w:b/>
          <w:sz w:val="22"/>
          <w:szCs w:val="22"/>
          <w:u w:val="single"/>
        </w:rPr>
        <w:t>Emission Limitations and Standards</w:t>
      </w:r>
      <w:r>
        <w:rPr>
          <w:sz w:val="22"/>
          <w:szCs w:val="22"/>
        </w:rPr>
        <w:t xml:space="preserve">, because this condition outlines work practice standards.  It appears as Specific Condition </w:t>
      </w:r>
      <w:r>
        <w:rPr>
          <w:b/>
          <w:sz w:val="22"/>
          <w:szCs w:val="22"/>
        </w:rPr>
        <w:t>C.5</w:t>
      </w:r>
      <w:r>
        <w:rPr>
          <w:sz w:val="22"/>
          <w:szCs w:val="22"/>
        </w:rPr>
        <w:t xml:space="preserve">.  </w:t>
      </w:r>
    </w:p>
    <w:p w:rsidR="006475B9" w:rsidRDefault="00AF21BB" w:rsidP="006475B9">
      <w:pPr>
        <w:pStyle w:val="ListParagraph"/>
        <w:numPr>
          <w:ilvl w:val="0"/>
          <w:numId w:val="1"/>
        </w:numPr>
        <w:tabs>
          <w:tab w:val="left" w:pos="360"/>
        </w:tabs>
        <w:spacing w:after="120"/>
        <w:contextualSpacing w:val="0"/>
        <w:rPr>
          <w:sz w:val="22"/>
          <w:szCs w:val="22"/>
        </w:rPr>
      </w:pPr>
      <w:bookmarkStart w:id="30" w:name="_Ref520448271"/>
      <w:r>
        <w:rPr>
          <w:sz w:val="22"/>
          <w:szCs w:val="22"/>
        </w:rPr>
        <w:t xml:space="preserve">Specific Condition </w:t>
      </w:r>
      <w:r>
        <w:rPr>
          <w:b/>
          <w:sz w:val="22"/>
          <w:szCs w:val="22"/>
        </w:rPr>
        <w:t>C.8</w:t>
      </w:r>
      <w:r>
        <w:rPr>
          <w:sz w:val="22"/>
          <w:szCs w:val="22"/>
        </w:rPr>
        <w:t xml:space="preserve"> (formerly </w:t>
      </w:r>
      <w:r>
        <w:rPr>
          <w:b/>
          <w:sz w:val="22"/>
          <w:szCs w:val="22"/>
        </w:rPr>
        <w:t>C.7</w:t>
      </w:r>
      <w:r>
        <w:rPr>
          <w:sz w:val="22"/>
          <w:szCs w:val="22"/>
        </w:rPr>
        <w:t xml:space="preserve"> of Permit No. 0850001-040-AV)</w:t>
      </w:r>
      <w:r w:rsidR="006475B9">
        <w:rPr>
          <w:sz w:val="22"/>
          <w:szCs w:val="22"/>
        </w:rPr>
        <w:t xml:space="preserve"> and </w:t>
      </w:r>
      <w:r w:rsidR="006475B9">
        <w:rPr>
          <w:b/>
          <w:sz w:val="22"/>
          <w:szCs w:val="22"/>
          <w:u w:val="single"/>
        </w:rPr>
        <w:t>Monitoring Requirements</w:t>
      </w:r>
      <w:r w:rsidR="006475B9">
        <w:rPr>
          <w:sz w:val="22"/>
          <w:szCs w:val="22"/>
        </w:rPr>
        <w:t xml:space="preserve"> have been deleted.  This condition is the sole monitoring requirement and, after the revision in Permit No. 0850001-041-AC/PSD-FL-146J and 327G, has been added under </w:t>
      </w:r>
      <w:r w:rsidR="006475B9">
        <w:rPr>
          <w:b/>
          <w:sz w:val="22"/>
          <w:szCs w:val="22"/>
          <w:u w:val="single"/>
        </w:rPr>
        <w:t>Recordkeeping and Reporting</w:t>
      </w:r>
      <w:r w:rsidR="006475B9">
        <w:rPr>
          <w:sz w:val="22"/>
          <w:szCs w:val="22"/>
        </w:rPr>
        <w:t xml:space="preserve"> as Specific Condition </w:t>
      </w:r>
      <w:r w:rsidR="006475B9">
        <w:rPr>
          <w:b/>
          <w:sz w:val="22"/>
          <w:szCs w:val="22"/>
        </w:rPr>
        <w:t>C.19</w:t>
      </w:r>
      <w:r w:rsidR="006475B9">
        <w:rPr>
          <w:sz w:val="22"/>
          <w:szCs w:val="22"/>
        </w:rPr>
        <w:t>.  The changes appear as follows:</w:t>
      </w:r>
      <w:bookmarkEnd w:id="30"/>
    </w:p>
    <w:p w:rsidR="006475B9" w:rsidRPr="006475B9" w:rsidRDefault="006475B9" w:rsidP="006475B9">
      <w:pPr>
        <w:spacing w:after="120"/>
        <w:ind w:left="360"/>
        <w:rPr>
          <w:b/>
          <w:strike/>
          <w:sz w:val="22"/>
          <w:szCs w:val="22"/>
          <w:highlight w:val="yellow"/>
          <w:u w:val="single"/>
        </w:rPr>
      </w:pPr>
      <w:r w:rsidRPr="006475B9">
        <w:rPr>
          <w:b/>
          <w:strike/>
          <w:sz w:val="22"/>
          <w:szCs w:val="22"/>
          <w:highlight w:val="yellow"/>
          <w:u w:val="single"/>
        </w:rPr>
        <w:t>Monitoring Requirements</w:t>
      </w:r>
    </w:p>
    <w:p w:rsidR="006475B9" w:rsidRDefault="006475B9" w:rsidP="006475B9">
      <w:pPr>
        <w:pStyle w:val="ListParagraph"/>
        <w:numPr>
          <w:ilvl w:val="0"/>
          <w:numId w:val="62"/>
        </w:numPr>
        <w:tabs>
          <w:tab w:val="left" w:pos="360"/>
          <w:tab w:val="left" w:pos="1080"/>
        </w:tabs>
        <w:spacing w:after="120"/>
        <w:contextualSpacing w:val="0"/>
        <w:rPr>
          <w:strike/>
          <w:sz w:val="22"/>
          <w:szCs w:val="22"/>
          <w:highlight w:val="yellow"/>
        </w:rPr>
      </w:pPr>
      <w:r w:rsidRPr="006475B9">
        <w:rPr>
          <w:strike/>
          <w:sz w:val="22"/>
          <w:szCs w:val="22"/>
          <w:highlight w:val="yellow"/>
          <w:u w:val="single"/>
        </w:rPr>
        <w:t>Fuel Flow Monitoring</w:t>
      </w:r>
      <w:r w:rsidRPr="006475B9">
        <w:rPr>
          <w:strike/>
          <w:sz w:val="22"/>
          <w:szCs w:val="22"/>
          <w:highlight w:val="yellow"/>
        </w:rPr>
        <w:t>.  The permittee shall install and maintain equipment to monitor and record the fuel flow rates of the auxiliary boiler.  [Permit No. 0850001-039-AC]</w:t>
      </w:r>
    </w:p>
    <w:p w:rsidR="006475B9" w:rsidRDefault="006475B9" w:rsidP="006475B9">
      <w:pPr>
        <w:pStyle w:val="ListParagraph"/>
        <w:numPr>
          <w:ilvl w:val="0"/>
          <w:numId w:val="63"/>
        </w:numPr>
        <w:tabs>
          <w:tab w:val="left" w:pos="1080"/>
        </w:tabs>
        <w:suppressAutoHyphens/>
        <w:spacing w:before="120" w:after="120"/>
        <w:contextualSpacing w:val="0"/>
        <w:rPr>
          <w:sz w:val="22"/>
          <w:szCs w:val="22"/>
          <w:highlight w:val="yellow"/>
          <w:u w:val="double"/>
        </w:rPr>
      </w:pPr>
      <w:r w:rsidRPr="006475B9">
        <w:rPr>
          <w:sz w:val="22"/>
          <w:szCs w:val="22"/>
          <w:highlight w:val="yellow"/>
          <w:u w:val="double"/>
        </w:rPr>
        <w:t>Fuel Usage Recordkeeping.  The permittee shall record and maintain records of the amount of natural gas combusted during each calendar month by this unit using the hours of operation each month, the maximum heat input rate of 13.23 MMBtu/hr and the most recent natural gas heating value data from the vendor.  [40 CFR 60.48c(g)(2) &amp; Permit No. 0850001-041-AC/PSD-FL-146J &amp; 327G]</w:t>
      </w:r>
    </w:p>
    <w:p w:rsidR="006475B9" w:rsidRPr="006475B9" w:rsidRDefault="006475B9" w:rsidP="006475B9">
      <w:pPr>
        <w:pStyle w:val="ListParagraph"/>
        <w:numPr>
          <w:ilvl w:val="0"/>
          <w:numId w:val="1"/>
        </w:numPr>
        <w:tabs>
          <w:tab w:val="left" w:pos="360"/>
        </w:tabs>
        <w:spacing w:after="120"/>
        <w:contextualSpacing w:val="0"/>
        <w:rPr>
          <w:sz w:val="22"/>
          <w:szCs w:val="22"/>
          <w:u w:val="double"/>
        </w:rPr>
      </w:pPr>
      <w:r>
        <w:rPr>
          <w:sz w:val="22"/>
          <w:szCs w:val="22"/>
        </w:rPr>
        <w:t xml:space="preserve">Changes made in item </w:t>
      </w:r>
      <w:r w:rsidRPr="006475B9">
        <w:rPr>
          <w:b/>
          <w:sz w:val="22"/>
          <w:szCs w:val="22"/>
        </w:rPr>
        <w:fldChar w:fldCharType="begin"/>
      </w:r>
      <w:r w:rsidRPr="006475B9">
        <w:rPr>
          <w:b/>
          <w:sz w:val="22"/>
          <w:szCs w:val="22"/>
        </w:rPr>
        <w:instrText xml:space="preserve"> REF _Ref520448271 \r \h  \* MERGEFORMAT </w:instrText>
      </w:r>
      <w:r w:rsidRPr="006475B9">
        <w:rPr>
          <w:b/>
          <w:sz w:val="22"/>
          <w:szCs w:val="22"/>
        </w:rPr>
      </w:r>
      <w:r w:rsidRPr="006475B9">
        <w:rPr>
          <w:b/>
          <w:sz w:val="22"/>
          <w:szCs w:val="22"/>
        </w:rPr>
        <w:fldChar w:fldCharType="separate"/>
      </w:r>
      <w:r w:rsidR="00C76A61">
        <w:rPr>
          <w:b/>
          <w:sz w:val="22"/>
          <w:szCs w:val="22"/>
        </w:rPr>
        <w:t>74</w:t>
      </w:r>
      <w:r w:rsidRPr="006475B9">
        <w:rPr>
          <w:b/>
          <w:sz w:val="22"/>
          <w:szCs w:val="22"/>
        </w:rPr>
        <w:fldChar w:fldCharType="end"/>
      </w:r>
      <w:r>
        <w:rPr>
          <w:sz w:val="22"/>
          <w:szCs w:val="22"/>
        </w:rPr>
        <w:t xml:space="preserve"> make provisions in Specific Condition </w:t>
      </w:r>
      <w:r>
        <w:rPr>
          <w:b/>
          <w:sz w:val="22"/>
          <w:szCs w:val="22"/>
        </w:rPr>
        <w:t>C.20</w:t>
      </w:r>
      <w:r>
        <w:rPr>
          <w:sz w:val="22"/>
          <w:szCs w:val="22"/>
        </w:rPr>
        <w:t xml:space="preserve"> (formerly </w:t>
      </w:r>
      <w:r>
        <w:rPr>
          <w:b/>
          <w:sz w:val="22"/>
          <w:szCs w:val="22"/>
        </w:rPr>
        <w:t>C.19</w:t>
      </w:r>
      <w:r>
        <w:rPr>
          <w:sz w:val="22"/>
          <w:szCs w:val="22"/>
        </w:rPr>
        <w:t xml:space="preserve"> in Permit No. 0850001-040-AV) obsolete.  This condition has been revised as follows:</w:t>
      </w:r>
    </w:p>
    <w:p w:rsidR="006475B9" w:rsidRPr="006475B9" w:rsidRDefault="006475B9" w:rsidP="006475B9">
      <w:pPr>
        <w:numPr>
          <w:ilvl w:val="0"/>
          <w:numId w:val="65"/>
        </w:numPr>
        <w:tabs>
          <w:tab w:val="left" w:pos="1080"/>
        </w:tabs>
        <w:suppressAutoHyphens/>
        <w:spacing w:before="120"/>
        <w:ind w:left="720"/>
        <w:rPr>
          <w:sz w:val="22"/>
        </w:rPr>
      </w:pPr>
      <w:r w:rsidRPr="006475B9">
        <w:rPr>
          <w:sz w:val="22"/>
          <w:u w:val="single"/>
        </w:rPr>
        <w:t>NSPS Subpart Dc Recordkeeping</w:t>
      </w:r>
      <w:r w:rsidRPr="006475B9">
        <w:rPr>
          <w:sz w:val="22"/>
        </w:rPr>
        <w:t>.  The permittee shall comply with the following recordkeeping provisions:</w:t>
      </w:r>
    </w:p>
    <w:p w:rsidR="006475B9" w:rsidRPr="006475B9" w:rsidRDefault="006475B9" w:rsidP="006475B9">
      <w:pPr>
        <w:numPr>
          <w:ilvl w:val="0"/>
          <w:numId w:val="64"/>
        </w:numPr>
        <w:spacing w:after="120"/>
        <w:ind w:left="1080"/>
        <w:contextualSpacing/>
        <w:rPr>
          <w:strike/>
          <w:sz w:val="22"/>
          <w:highlight w:val="yellow"/>
        </w:rPr>
      </w:pPr>
      <w:r w:rsidRPr="006475B9">
        <w:rPr>
          <w:strike/>
          <w:sz w:val="22"/>
          <w:highlight w:val="yellow"/>
        </w:rPr>
        <w:t>The amount of fuel combusted during each calendar month shall be recorded and maintained; or</w:t>
      </w:r>
    </w:p>
    <w:p w:rsidR="006475B9" w:rsidRPr="006475B9" w:rsidRDefault="006475B9" w:rsidP="006475B9">
      <w:pPr>
        <w:numPr>
          <w:ilvl w:val="0"/>
          <w:numId w:val="64"/>
        </w:numPr>
        <w:spacing w:after="120"/>
        <w:ind w:left="1080"/>
        <w:contextualSpacing/>
        <w:rPr>
          <w:sz w:val="22"/>
        </w:rPr>
      </w:pPr>
      <w:r w:rsidRPr="006475B9">
        <w:rPr>
          <w:sz w:val="22"/>
        </w:rPr>
        <w:t>If all steam generating units in the facility (including steam generating units not subject to 40 CFR 60, Subpart Dc) combust natural gas and distillate oil meeting the most current requirements of 40 CFR 60.42c to use fuel certification to demonstrate compliance with the SO</w:t>
      </w:r>
      <w:r w:rsidRPr="006475B9">
        <w:rPr>
          <w:sz w:val="22"/>
          <w:vertAlign w:val="subscript"/>
        </w:rPr>
        <w:t>2</w:t>
      </w:r>
      <w:r w:rsidRPr="006475B9">
        <w:rPr>
          <w:sz w:val="22"/>
        </w:rPr>
        <w:t xml:space="preserve"> standard may elect to record and maintain records of the total amount of each steam generating unit fuel delivered to the facility property during each calendar month.</w:t>
      </w:r>
    </w:p>
    <w:p w:rsidR="006475B9" w:rsidRPr="006475B9" w:rsidRDefault="006475B9" w:rsidP="006475B9">
      <w:pPr>
        <w:numPr>
          <w:ilvl w:val="0"/>
          <w:numId w:val="64"/>
        </w:numPr>
        <w:spacing w:after="120"/>
        <w:ind w:left="1080"/>
        <w:contextualSpacing/>
        <w:rPr>
          <w:sz w:val="22"/>
        </w:rPr>
      </w:pPr>
      <w:r w:rsidRPr="006475B9">
        <w:rPr>
          <w:sz w:val="22"/>
        </w:rPr>
        <w:t xml:space="preserve">All records required under this specific condition shall be maintained by the owner or operator of the affected facility for a period of 5 years following the date of such records.  </w:t>
      </w:r>
    </w:p>
    <w:p w:rsidR="006475B9" w:rsidRDefault="006475B9" w:rsidP="006475B9">
      <w:pPr>
        <w:spacing w:after="120"/>
        <w:ind w:left="720"/>
        <w:rPr>
          <w:sz w:val="22"/>
        </w:rPr>
      </w:pPr>
      <w:r w:rsidRPr="006475B9">
        <w:rPr>
          <w:sz w:val="22"/>
        </w:rPr>
        <w:t>[Rules 62-204.800(8)(b)4., F.A.C. &amp; 62-213.205(1)(e); and, 40 CFR 60.48c(g)</w:t>
      </w:r>
      <w:r w:rsidRPr="006475B9">
        <w:rPr>
          <w:strike/>
          <w:sz w:val="22"/>
          <w:highlight w:val="yellow"/>
        </w:rPr>
        <w:t>(2),</w:t>
      </w:r>
      <w:r w:rsidRPr="006475B9">
        <w:rPr>
          <w:sz w:val="22"/>
        </w:rPr>
        <w:t xml:space="preserve"> (3) &amp; (i)]</w:t>
      </w:r>
    </w:p>
    <w:p w:rsidR="00EF49A1" w:rsidRPr="00EF49A1" w:rsidRDefault="00EF49A1" w:rsidP="00EF49A1">
      <w:pPr>
        <w:spacing w:after="120"/>
        <w:rPr>
          <w:b/>
          <w:sz w:val="22"/>
          <w:u w:val="single"/>
        </w:rPr>
      </w:pPr>
      <w:r>
        <w:rPr>
          <w:b/>
          <w:sz w:val="22"/>
          <w:u w:val="single"/>
        </w:rPr>
        <w:t>Changes to Section III., Subsection D.</w:t>
      </w:r>
    </w:p>
    <w:p w:rsidR="00E3555F" w:rsidRDefault="00EF49A1" w:rsidP="00EF49A1">
      <w:pPr>
        <w:pStyle w:val="ListParagraph"/>
        <w:numPr>
          <w:ilvl w:val="0"/>
          <w:numId w:val="1"/>
        </w:numPr>
        <w:tabs>
          <w:tab w:val="left" w:pos="360"/>
        </w:tabs>
        <w:spacing w:after="120"/>
        <w:contextualSpacing w:val="0"/>
        <w:rPr>
          <w:sz w:val="22"/>
        </w:rPr>
      </w:pPr>
      <w:r>
        <w:rPr>
          <w:sz w:val="22"/>
        </w:rPr>
        <w:t>To reflect the generating capacity of the upgraded combustion turbine-electrical generators in Martin Unit 8 and current Title V air operation permit format standards, the EU description has been revised as follows:</w:t>
      </w:r>
    </w:p>
    <w:p w:rsidR="00EF49A1" w:rsidRPr="00EF49A1" w:rsidRDefault="00EF49A1" w:rsidP="00EF49A1">
      <w:pPr>
        <w:widowControl w:val="0"/>
        <w:spacing w:before="120" w:after="120"/>
        <w:ind w:left="360"/>
        <w:rPr>
          <w:sz w:val="22"/>
          <w:szCs w:val="22"/>
        </w:rPr>
      </w:pPr>
      <w:bookmarkStart w:id="31" w:name="_Hlk505246662"/>
      <w:r w:rsidRPr="00EF49A1">
        <w:rPr>
          <w:sz w:val="22"/>
          <w:szCs w:val="22"/>
        </w:rPr>
        <w:t xml:space="preserve">Each CT (8A, 8B, 8C and 8D) consists of a nominal </w:t>
      </w:r>
      <w:r w:rsidRPr="00EF49A1">
        <w:rPr>
          <w:strike/>
          <w:sz w:val="22"/>
          <w:szCs w:val="22"/>
          <w:highlight w:val="yellow"/>
        </w:rPr>
        <w:t>170</w:t>
      </w:r>
      <w:r w:rsidRPr="00EF49A1">
        <w:rPr>
          <w:sz w:val="22"/>
          <w:szCs w:val="22"/>
        </w:rPr>
        <w:t xml:space="preserve"> </w:t>
      </w:r>
      <w:r w:rsidRPr="00EF49A1">
        <w:rPr>
          <w:sz w:val="22"/>
          <w:szCs w:val="22"/>
          <w:highlight w:val="yellow"/>
          <w:u w:val="double"/>
        </w:rPr>
        <w:t>207.4</w:t>
      </w:r>
      <w:r w:rsidRPr="00EF49A1">
        <w:rPr>
          <w:sz w:val="22"/>
          <w:szCs w:val="22"/>
        </w:rPr>
        <w:t xml:space="preserve"> MW General Electric Model PG7241(FA) gas turbine-electrical generator set, an automated gas turbine control system, an inlet air filtration system, an evaporative inlet air cooling system, and associated support equipment.  Each CT is coupled with a HRSG equipped with a 495 MMBtu/hr natural gas fired duct burner.  Steam from each HRSG is delivered to the single steam turbine driven electrical generator that serves all four CT/HRSG systems, which has a nominal capacity of 470 MW.  The total nominal generating capacity of the (one “4-on-1” set) combined cycle unit is </w:t>
      </w:r>
      <w:r w:rsidRPr="00EF49A1">
        <w:rPr>
          <w:strike/>
          <w:sz w:val="22"/>
          <w:szCs w:val="22"/>
          <w:highlight w:val="yellow"/>
        </w:rPr>
        <w:t>1,150</w:t>
      </w:r>
      <w:r w:rsidRPr="00EF49A1">
        <w:rPr>
          <w:sz w:val="22"/>
          <w:szCs w:val="22"/>
        </w:rPr>
        <w:t xml:space="preserve"> </w:t>
      </w:r>
      <w:r w:rsidRPr="00EF49A1">
        <w:rPr>
          <w:sz w:val="22"/>
          <w:szCs w:val="22"/>
          <w:highlight w:val="yellow"/>
          <w:u w:val="double"/>
        </w:rPr>
        <w:t>1,300.4</w:t>
      </w:r>
      <w:r w:rsidRPr="00EF49A1">
        <w:rPr>
          <w:sz w:val="22"/>
          <w:szCs w:val="22"/>
        </w:rPr>
        <w:t xml:space="preserve"> MW.  The stack parameters for each CT/HRSG are: 120 feet in height; 19 feet in diameter; exhaust flow rates of 1,004,200 acfm for natural gas firing and 1,193,900 acfm for oil firing; and gas exit temperatures of 202°F (gas) and 295°F (oil).  At a compressor inlet air temperature of 59°F, the heat input rate to each CT based on lower heating value (LHV) is approximately 1,660 MMBtu/hr (gas) and 1,885 MMBtu/hour (oil).</w:t>
      </w:r>
    </w:p>
    <w:p w:rsidR="00EF49A1" w:rsidRPr="00EF49A1" w:rsidRDefault="00EF49A1" w:rsidP="00EF49A1">
      <w:pPr>
        <w:tabs>
          <w:tab w:val="left" w:pos="0"/>
        </w:tabs>
        <w:suppressAutoHyphens/>
        <w:spacing w:after="120"/>
        <w:ind w:left="360"/>
        <w:outlineLvl w:val="0"/>
        <w:rPr>
          <w:sz w:val="22"/>
          <w:szCs w:val="22"/>
        </w:rPr>
      </w:pPr>
      <w:bookmarkStart w:id="32" w:name="_Hlk505246719"/>
      <w:bookmarkEnd w:id="31"/>
      <w:r w:rsidRPr="00EF49A1">
        <w:rPr>
          <w:sz w:val="22"/>
          <w:szCs w:val="22"/>
        </w:rPr>
        <w:t>The CTs use natural gas as the primary fuel and distillate oil as a restricted alternate fuel.  The efficient combustion of natural gas at high temperatures minimizes emissions of CO, PM/PM</w:t>
      </w:r>
      <w:r w:rsidRPr="00EF49A1">
        <w:rPr>
          <w:sz w:val="22"/>
          <w:szCs w:val="22"/>
          <w:vertAlign w:val="subscript"/>
        </w:rPr>
        <w:t>10</w:t>
      </w:r>
      <w:r w:rsidRPr="00EF49A1">
        <w:rPr>
          <w:sz w:val="22"/>
          <w:szCs w:val="22"/>
        </w:rPr>
        <w:t>, SAM, SO</w:t>
      </w:r>
      <w:r w:rsidRPr="00EF49A1">
        <w:rPr>
          <w:sz w:val="22"/>
          <w:szCs w:val="22"/>
          <w:vertAlign w:val="subscript"/>
        </w:rPr>
        <w:t>2</w:t>
      </w:r>
      <w:r w:rsidRPr="00EF49A1">
        <w:rPr>
          <w:sz w:val="22"/>
          <w:szCs w:val="22"/>
        </w:rPr>
        <w:t>, and VOC.  NO</w:t>
      </w:r>
      <w:r w:rsidRPr="00EF49A1">
        <w:rPr>
          <w:sz w:val="22"/>
          <w:szCs w:val="22"/>
          <w:vertAlign w:val="subscript"/>
        </w:rPr>
        <w:t>X</w:t>
      </w:r>
      <w:r w:rsidRPr="00EF49A1">
        <w:rPr>
          <w:sz w:val="22"/>
          <w:szCs w:val="22"/>
        </w:rPr>
        <w:t xml:space="preserve"> emissions are reduced by Dry Low-NO</w:t>
      </w:r>
      <w:r w:rsidRPr="00EF49A1">
        <w:rPr>
          <w:sz w:val="22"/>
          <w:szCs w:val="22"/>
          <w:vertAlign w:val="subscript"/>
        </w:rPr>
        <w:t>X</w:t>
      </w:r>
      <w:r w:rsidRPr="00EF49A1">
        <w:rPr>
          <w:sz w:val="22"/>
          <w:szCs w:val="22"/>
        </w:rPr>
        <w:t xml:space="preserve"> (DLN) combustion technology.  A selective catalytic reduction (SCR) system combined with DLN combustion technology further reduces NO</w:t>
      </w:r>
      <w:r w:rsidRPr="00EF49A1">
        <w:rPr>
          <w:sz w:val="22"/>
          <w:szCs w:val="22"/>
          <w:vertAlign w:val="subscript"/>
        </w:rPr>
        <w:t>X</w:t>
      </w:r>
      <w:r w:rsidRPr="00EF49A1">
        <w:rPr>
          <w:sz w:val="22"/>
          <w:szCs w:val="22"/>
        </w:rPr>
        <w:t xml:space="preserve"> emissions during combined cycle mode.  Each CT is equipped with CEMS to measure and record CO and NO</w:t>
      </w:r>
      <w:r w:rsidRPr="00EF49A1">
        <w:rPr>
          <w:sz w:val="22"/>
          <w:szCs w:val="22"/>
          <w:vertAlign w:val="subscript"/>
        </w:rPr>
        <w:t>X</w:t>
      </w:r>
      <w:r w:rsidRPr="00EF49A1">
        <w:rPr>
          <w:sz w:val="22"/>
          <w:szCs w:val="22"/>
        </w:rPr>
        <w:t xml:space="preserve"> emissions as well as flue gas O</w:t>
      </w:r>
      <w:r w:rsidRPr="00EF49A1">
        <w:rPr>
          <w:sz w:val="22"/>
          <w:szCs w:val="22"/>
          <w:vertAlign w:val="subscript"/>
        </w:rPr>
        <w:t>2</w:t>
      </w:r>
      <w:r w:rsidRPr="00EF49A1">
        <w:rPr>
          <w:sz w:val="22"/>
          <w:szCs w:val="22"/>
        </w:rPr>
        <w:t xml:space="preserve"> or CO</w:t>
      </w:r>
      <w:r w:rsidRPr="00EF49A1">
        <w:rPr>
          <w:sz w:val="22"/>
          <w:szCs w:val="22"/>
          <w:vertAlign w:val="subscript"/>
        </w:rPr>
        <w:t>2</w:t>
      </w:r>
      <w:r w:rsidRPr="00EF49A1">
        <w:rPr>
          <w:sz w:val="22"/>
          <w:szCs w:val="22"/>
        </w:rPr>
        <w:t xml:space="preserve"> content.  CAM does not apply since these emissions units have NO</w:t>
      </w:r>
      <w:r w:rsidRPr="00EF49A1">
        <w:rPr>
          <w:sz w:val="22"/>
          <w:szCs w:val="22"/>
          <w:vertAlign w:val="subscript"/>
        </w:rPr>
        <w:t>X</w:t>
      </w:r>
      <w:r w:rsidRPr="00EF49A1">
        <w:rPr>
          <w:sz w:val="22"/>
          <w:szCs w:val="22"/>
        </w:rPr>
        <w:t xml:space="preserve"> CEMS which are used to demonstrate continuous compliance.</w:t>
      </w:r>
      <w:bookmarkEnd w:id="32"/>
    </w:p>
    <w:p w:rsidR="00EF49A1" w:rsidRPr="00EF49A1" w:rsidRDefault="00EF49A1" w:rsidP="00EF49A1">
      <w:pPr>
        <w:pStyle w:val="BodyText2"/>
        <w:spacing w:after="60" w:line="240" w:lineRule="auto"/>
        <w:ind w:left="360"/>
        <w:rPr>
          <w:sz w:val="22"/>
          <w:szCs w:val="22"/>
        </w:rPr>
      </w:pPr>
      <w:bookmarkStart w:id="33" w:name="_Hlk505246747"/>
      <w:r w:rsidRPr="00EF49A1">
        <w:rPr>
          <w:sz w:val="22"/>
          <w:szCs w:val="22"/>
        </w:rPr>
        <w:t>Emissions Units 8A and 8B commenced commercial simple cycle operation in November 2001.  In a permitting action issued on 2003, these two existing units in addition to two new units conformed the (one “4-on-1” set) combined cycle combustion system (Units 8A, 8B, 8C and 8D) that commenced commercial operation on June 30, 2005.</w:t>
      </w:r>
      <w:bookmarkEnd w:id="33"/>
    </w:p>
    <w:p w:rsidR="00EF49A1" w:rsidRPr="00EF49A1" w:rsidRDefault="00EF49A1" w:rsidP="00EF49A1">
      <w:pPr>
        <w:spacing w:before="120" w:after="120"/>
        <w:ind w:left="360"/>
        <w:rPr>
          <w:i/>
          <w:sz w:val="22"/>
          <w:szCs w:val="22"/>
          <w:highlight w:val="yellow"/>
          <w:u w:val="double"/>
        </w:rPr>
      </w:pPr>
      <w:r w:rsidRPr="00EF49A1">
        <w:rPr>
          <w:i/>
          <w:sz w:val="22"/>
          <w:szCs w:val="22"/>
          <w:highlight w:val="yellow"/>
          <w:u w:val="double"/>
        </w:rPr>
        <w:t>{Permitting Note:  These emissions units are regulated under:  40 CFR 60, Subpart A, General Provisions, and Subpart KKKK, Standards of Performance for Stationary Combustion Turbines, adopted by reference in Rules 62-204.800(8)(d) and (8)(b)84., F.A.C., respectively; 40 CFR 63, Subpart A, General Provisions, and Subpart YYYY, NESHAP for Stationary Combustion Turbines, adopted by reference in Rule 62-204.800(11)(d)1. and (11)(b)81., F.A.C., respectively; Rule 62-212.400, F.A.C., BACT for CO, NO</w:t>
      </w:r>
      <w:r w:rsidRPr="00EF49A1">
        <w:rPr>
          <w:i/>
          <w:sz w:val="22"/>
          <w:szCs w:val="22"/>
          <w:highlight w:val="yellow"/>
          <w:u w:val="double"/>
          <w:vertAlign w:val="subscript"/>
        </w:rPr>
        <w:t>X</w:t>
      </w:r>
      <w:r w:rsidRPr="00EF49A1">
        <w:rPr>
          <w:i/>
          <w:sz w:val="22"/>
          <w:szCs w:val="22"/>
          <w:highlight w:val="yellow"/>
          <w:u w:val="double"/>
        </w:rPr>
        <w:t>, PM/PM</w:t>
      </w:r>
      <w:r w:rsidRPr="00EF49A1">
        <w:rPr>
          <w:i/>
          <w:sz w:val="22"/>
          <w:szCs w:val="22"/>
          <w:highlight w:val="yellow"/>
          <w:u w:val="double"/>
          <w:vertAlign w:val="subscript"/>
        </w:rPr>
        <w:t>10</w:t>
      </w:r>
      <w:r w:rsidRPr="00EF49A1">
        <w:rPr>
          <w:i/>
          <w:sz w:val="22"/>
          <w:szCs w:val="22"/>
          <w:highlight w:val="yellow"/>
          <w:u w:val="double"/>
        </w:rPr>
        <w:t>, SO</w:t>
      </w:r>
      <w:r w:rsidRPr="00EF49A1">
        <w:rPr>
          <w:i/>
          <w:sz w:val="22"/>
          <w:szCs w:val="22"/>
          <w:highlight w:val="yellow"/>
          <w:u w:val="double"/>
          <w:vertAlign w:val="subscript"/>
        </w:rPr>
        <w:t>2</w:t>
      </w:r>
      <w:r w:rsidRPr="00EF49A1">
        <w:rPr>
          <w:i/>
          <w:sz w:val="22"/>
          <w:szCs w:val="22"/>
          <w:highlight w:val="yellow"/>
          <w:u w:val="double"/>
        </w:rPr>
        <w:t>, SAM and VOC under Permit No. 0850001-010-AC/PSD-FL-327, which was issued on 4/16/2003 and modified on 7/7/2005, and superseded Permit No. PSD-FL-286; and, Chapter 62-214, F.A.C., the Phase II Acid Rain Program as specified in Section IV of this Permit.</w:t>
      </w:r>
    </w:p>
    <w:p w:rsidR="00EF49A1" w:rsidRPr="00EF49A1" w:rsidRDefault="00EF49A1" w:rsidP="00EF49A1">
      <w:pPr>
        <w:spacing w:before="120" w:after="120"/>
        <w:ind w:left="360"/>
        <w:rPr>
          <w:i/>
          <w:sz w:val="22"/>
          <w:szCs w:val="22"/>
          <w:u w:val="double"/>
        </w:rPr>
      </w:pPr>
      <w:r w:rsidRPr="00EF49A1">
        <w:rPr>
          <w:i/>
          <w:sz w:val="22"/>
          <w:szCs w:val="22"/>
        </w:rPr>
        <w:t xml:space="preserve">On March 5, 2004, EPA promulgated 40 CFR 63, Subpart YYYY – National Emission Standards for Hazardous Air Pollutants for Stationary Combustion Turbines built after January 14, 2003.  Unit 8 was under contractual obligations before this date and is therefore an existing unit.  Currently, ‘existing combustion turbines’ are not required to meet the emission limitations, notifications, reporting or any other requirements of 40 CFR 63, Subpart YYYY </w:t>
      </w:r>
      <w:r w:rsidRPr="00EF49A1">
        <w:rPr>
          <w:i/>
          <w:sz w:val="22"/>
          <w:szCs w:val="22"/>
          <w:highlight w:val="yellow"/>
          <w:u w:val="double"/>
        </w:rPr>
        <w:t>or 40 CFR 63, Subpart A, pursuant to 40 CFR 63.6090(b)(4)</w:t>
      </w:r>
      <w:r w:rsidRPr="00EF49A1">
        <w:rPr>
          <w:i/>
          <w:sz w:val="22"/>
          <w:szCs w:val="22"/>
        </w:rPr>
        <w:t>.  EPA may at a future date promulgate standards for existing units.}</w:t>
      </w:r>
    </w:p>
    <w:p w:rsidR="00EF49A1" w:rsidRDefault="00EF49A1" w:rsidP="00EF49A1">
      <w:pPr>
        <w:pStyle w:val="ListParagraph"/>
        <w:tabs>
          <w:tab w:val="left" w:pos="360"/>
        </w:tabs>
        <w:spacing w:after="120"/>
        <w:ind w:left="360"/>
        <w:contextualSpacing w:val="0"/>
        <w:rPr>
          <w:i/>
          <w:strike/>
          <w:sz w:val="22"/>
          <w:szCs w:val="22"/>
          <w:highlight w:val="yellow"/>
        </w:rPr>
      </w:pPr>
      <w:r w:rsidRPr="00EF49A1">
        <w:rPr>
          <w:i/>
          <w:strike/>
          <w:sz w:val="22"/>
          <w:szCs w:val="22"/>
          <w:highlight w:val="yellow"/>
        </w:rPr>
        <w:t>{Permitting Note: These emissions units are regulated under Acid Rain-Phase II, 40 CFR 60, Subpart KKKK, Standards of Performance for Stationary Combustion Turbines; and 40 CFR 63, Subpart YYYY, National Emission Standards for Hazardous Air Pollutants for Stationary Combustion Turbines, all adopted by reference in Rules 62-204.800(8) and 62-204.800(11), F.A.C.; Rule 212.400, F.A.C., Prevention of Significant Deterioration (PSD), Best Available Control Technology (BACT); Air Construction Permit PSD-FL-286; and Air Construction Permit PSD-FL-327 (0850001-010-AC) issued 04/16/03 and modified on 7/7/2005.  PSD-FL-327 replaced and superseded PSD-FL-286.</w:t>
      </w:r>
    </w:p>
    <w:p w:rsidR="00EF49A1" w:rsidRDefault="00EF49A1" w:rsidP="00EF49A1">
      <w:pPr>
        <w:pStyle w:val="ListParagraph"/>
        <w:numPr>
          <w:ilvl w:val="0"/>
          <w:numId w:val="1"/>
        </w:numPr>
        <w:tabs>
          <w:tab w:val="left" w:pos="360"/>
        </w:tabs>
        <w:spacing w:after="120"/>
        <w:contextualSpacing w:val="0"/>
        <w:rPr>
          <w:sz w:val="22"/>
          <w:szCs w:val="22"/>
        </w:rPr>
      </w:pPr>
      <w:r>
        <w:rPr>
          <w:b/>
          <w:sz w:val="22"/>
          <w:szCs w:val="22"/>
          <w:u w:val="single"/>
        </w:rPr>
        <w:t>Equipment</w:t>
      </w:r>
      <w:r>
        <w:rPr>
          <w:sz w:val="22"/>
          <w:szCs w:val="22"/>
        </w:rPr>
        <w:t xml:space="preserve"> has been changed to </w:t>
      </w:r>
      <w:r>
        <w:rPr>
          <w:b/>
          <w:sz w:val="22"/>
          <w:szCs w:val="22"/>
          <w:u w:val="single"/>
        </w:rPr>
        <w:t>Equipment and Control Technology</w:t>
      </w:r>
      <w:r>
        <w:rPr>
          <w:sz w:val="22"/>
          <w:szCs w:val="22"/>
        </w:rPr>
        <w:t xml:space="preserve"> to reflect combustion turbine and control technology operating standards in this subsection.</w:t>
      </w:r>
    </w:p>
    <w:p w:rsidR="00EF49A1" w:rsidRDefault="00EF49A1" w:rsidP="00EF49A1">
      <w:pPr>
        <w:pStyle w:val="ListParagraph"/>
        <w:numPr>
          <w:ilvl w:val="0"/>
          <w:numId w:val="1"/>
        </w:numPr>
        <w:tabs>
          <w:tab w:val="left" w:pos="360"/>
        </w:tabs>
        <w:spacing w:after="120"/>
        <w:contextualSpacing w:val="0"/>
        <w:rPr>
          <w:sz w:val="22"/>
          <w:szCs w:val="22"/>
        </w:rPr>
      </w:pPr>
      <w:r>
        <w:rPr>
          <w:sz w:val="22"/>
          <w:szCs w:val="22"/>
        </w:rPr>
        <w:t xml:space="preserve">Specific Condition </w:t>
      </w:r>
      <w:r>
        <w:rPr>
          <w:b/>
          <w:sz w:val="22"/>
          <w:szCs w:val="22"/>
        </w:rPr>
        <w:t>D.5</w:t>
      </w:r>
      <w:r w:rsidR="007E227F">
        <w:rPr>
          <w:sz w:val="22"/>
          <w:szCs w:val="22"/>
        </w:rPr>
        <w:t xml:space="preserve"> contains obsolete language pertaining to installation practices and initial testing requirements that has been deleted.  Minor corrections and clarifications were also made.  This condition appears as follows:</w:t>
      </w:r>
    </w:p>
    <w:p w:rsidR="007E227F" w:rsidRPr="007E227F" w:rsidRDefault="007E227F" w:rsidP="00A237FB">
      <w:pPr>
        <w:numPr>
          <w:ilvl w:val="0"/>
          <w:numId w:val="67"/>
        </w:numPr>
        <w:tabs>
          <w:tab w:val="left" w:pos="1080"/>
        </w:tabs>
        <w:spacing w:before="120" w:after="120"/>
        <w:ind w:left="720"/>
        <w:contextualSpacing/>
        <w:rPr>
          <w:sz w:val="22"/>
          <w:szCs w:val="22"/>
        </w:rPr>
      </w:pPr>
      <w:r w:rsidRPr="007E227F">
        <w:rPr>
          <w:sz w:val="22"/>
          <w:szCs w:val="22"/>
          <w:u w:val="single"/>
        </w:rPr>
        <w:t>Gas Turbine NO</w:t>
      </w:r>
      <w:r w:rsidRPr="007E227F">
        <w:rPr>
          <w:sz w:val="22"/>
          <w:szCs w:val="22"/>
          <w:u w:val="single"/>
          <w:vertAlign w:val="subscript"/>
        </w:rPr>
        <w:t>X</w:t>
      </w:r>
      <w:r w:rsidRPr="007E227F">
        <w:rPr>
          <w:sz w:val="22"/>
          <w:szCs w:val="22"/>
          <w:u w:val="single"/>
        </w:rPr>
        <w:t xml:space="preserve"> Controls</w:t>
      </w:r>
      <w:r w:rsidRPr="007E227F">
        <w:rPr>
          <w:sz w:val="22"/>
          <w:szCs w:val="22"/>
        </w:rPr>
        <w:t>.</w:t>
      </w:r>
    </w:p>
    <w:p w:rsidR="007E227F" w:rsidRPr="007E227F" w:rsidRDefault="007E227F" w:rsidP="00A237FB">
      <w:pPr>
        <w:numPr>
          <w:ilvl w:val="0"/>
          <w:numId w:val="66"/>
        </w:numPr>
        <w:ind w:left="1080"/>
        <w:contextualSpacing/>
        <w:rPr>
          <w:sz w:val="22"/>
          <w:szCs w:val="22"/>
        </w:rPr>
      </w:pPr>
      <w:bookmarkStart w:id="34" w:name="_Hlk508874657"/>
      <w:r w:rsidRPr="007E227F">
        <w:rPr>
          <w:i/>
          <w:iCs/>
          <w:sz w:val="22"/>
          <w:szCs w:val="22"/>
        </w:rPr>
        <w:t>DLN Combustion.</w:t>
      </w:r>
      <w:r w:rsidRPr="007E227F">
        <w:rPr>
          <w:sz w:val="22"/>
          <w:szCs w:val="22"/>
        </w:rPr>
        <w:t xml:space="preserve">  The permittee shall operate and maintain the General Electric DLN 2.6 combustion system (or better) to control NO</w:t>
      </w:r>
      <w:r w:rsidRPr="007E227F">
        <w:rPr>
          <w:sz w:val="22"/>
          <w:szCs w:val="22"/>
          <w:vertAlign w:val="subscript"/>
        </w:rPr>
        <w:t>X</w:t>
      </w:r>
      <w:r w:rsidRPr="007E227F">
        <w:rPr>
          <w:sz w:val="22"/>
          <w:szCs w:val="22"/>
        </w:rPr>
        <w:t xml:space="preserve"> emissions from each gas turbine when firing natural gas.  Each system shall be maintained and tuned in accordance with the manufacturer’s recommendations.  </w:t>
      </w:r>
    </w:p>
    <w:p w:rsidR="007E227F" w:rsidRPr="007E227F" w:rsidRDefault="007E227F" w:rsidP="00A237FB">
      <w:pPr>
        <w:numPr>
          <w:ilvl w:val="0"/>
          <w:numId w:val="66"/>
        </w:numPr>
        <w:ind w:left="1080"/>
        <w:contextualSpacing/>
        <w:rPr>
          <w:sz w:val="22"/>
          <w:szCs w:val="22"/>
        </w:rPr>
      </w:pPr>
      <w:bookmarkStart w:id="35" w:name="_Hlk508874832"/>
      <w:bookmarkEnd w:id="34"/>
      <w:r w:rsidRPr="007E227F">
        <w:rPr>
          <w:i/>
          <w:sz w:val="22"/>
          <w:szCs w:val="22"/>
        </w:rPr>
        <w:t>Water Injection</w:t>
      </w:r>
      <w:r w:rsidRPr="007E227F">
        <w:rPr>
          <w:sz w:val="22"/>
          <w:szCs w:val="22"/>
        </w:rPr>
        <w:t>.  The permittee shall install, operate, and maintain a water injection system to reduce NO</w:t>
      </w:r>
      <w:r w:rsidRPr="007E227F">
        <w:rPr>
          <w:sz w:val="22"/>
          <w:szCs w:val="22"/>
          <w:vertAlign w:val="subscript"/>
        </w:rPr>
        <w:t>X</w:t>
      </w:r>
      <w:r w:rsidRPr="007E227F">
        <w:rPr>
          <w:sz w:val="22"/>
          <w:szCs w:val="22"/>
        </w:rPr>
        <w:t xml:space="preserve"> emissions from each gas turbine when firing distillate oil.  </w:t>
      </w:r>
      <w:r w:rsidRPr="007E227F">
        <w:rPr>
          <w:strike/>
          <w:sz w:val="22"/>
          <w:szCs w:val="22"/>
          <w:highlight w:val="yellow"/>
        </w:rPr>
        <w:t>Prior to the initial emissions performance tests required for each gas turbine, the water injection system shall be tuned to achieve the permitted levels for CO and NO</w:t>
      </w:r>
      <w:r w:rsidRPr="007E227F">
        <w:rPr>
          <w:strike/>
          <w:sz w:val="22"/>
          <w:szCs w:val="22"/>
          <w:highlight w:val="yellow"/>
          <w:vertAlign w:val="subscript"/>
        </w:rPr>
        <w:t>X</w:t>
      </w:r>
      <w:r w:rsidRPr="007E227F">
        <w:rPr>
          <w:strike/>
          <w:sz w:val="22"/>
          <w:szCs w:val="22"/>
          <w:highlight w:val="yellow"/>
        </w:rPr>
        <w:t xml:space="preserve"> emissions.</w:t>
      </w:r>
      <w:r w:rsidRPr="007E227F">
        <w:rPr>
          <w:sz w:val="22"/>
          <w:szCs w:val="22"/>
        </w:rPr>
        <w:t xml:space="preserve">  Thereafter, each system shall be maintained and tuned in accordance with the manufacturer’s recommendations.  </w:t>
      </w:r>
      <w:bookmarkEnd w:id="35"/>
    </w:p>
    <w:p w:rsidR="007E227F" w:rsidRPr="007E227F" w:rsidRDefault="007E227F" w:rsidP="00A237FB">
      <w:pPr>
        <w:numPr>
          <w:ilvl w:val="0"/>
          <w:numId w:val="66"/>
        </w:numPr>
        <w:ind w:left="1080"/>
        <w:contextualSpacing/>
        <w:rPr>
          <w:sz w:val="22"/>
          <w:szCs w:val="22"/>
        </w:rPr>
      </w:pPr>
      <w:r w:rsidRPr="007E227F">
        <w:rPr>
          <w:i/>
          <w:sz w:val="22"/>
          <w:szCs w:val="22"/>
        </w:rPr>
        <w:t>SCR System</w:t>
      </w:r>
      <w:r w:rsidRPr="007E227F">
        <w:rPr>
          <w:sz w:val="22"/>
          <w:szCs w:val="22"/>
        </w:rPr>
        <w:t xml:space="preserve">.  The permittee shall </w:t>
      </w:r>
      <w:r w:rsidRPr="007E227F">
        <w:rPr>
          <w:strike/>
          <w:sz w:val="22"/>
          <w:szCs w:val="22"/>
          <w:highlight w:val="yellow"/>
        </w:rPr>
        <w:t>install,</w:t>
      </w:r>
      <w:r w:rsidRPr="007E227F">
        <w:rPr>
          <w:sz w:val="22"/>
          <w:szCs w:val="22"/>
        </w:rPr>
        <w:t xml:space="preserve"> tune, operate, and maintain a</w:t>
      </w:r>
      <w:r w:rsidRPr="007E227F">
        <w:rPr>
          <w:sz w:val="22"/>
          <w:szCs w:val="22"/>
          <w:highlight w:val="yellow"/>
          <w:u w:val="double"/>
        </w:rPr>
        <w:t>n</w:t>
      </w:r>
      <w:r w:rsidRPr="007E227F">
        <w:rPr>
          <w:sz w:val="22"/>
          <w:szCs w:val="22"/>
        </w:rPr>
        <w:t xml:space="preserve"> SCR system to control NO</w:t>
      </w:r>
      <w:r w:rsidRPr="007E227F">
        <w:rPr>
          <w:sz w:val="22"/>
          <w:szCs w:val="22"/>
          <w:vertAlign w:val="subscript"/>
        </w:rPr>
        <w:t>X</w:t>
      </w:r>
      <w:r w:rsidRPr="007E227F">
        <w:rPr>
          <w:sz w:val="22"/>
          <w:szCs w:val="22"/>
        </w:rPr>
        <w:t xml:space="preserve"> emissions from each gas turbine during combined cycle operation when firing either natural gas or distillate oil.  The SCR system consists of an ammonia injection grid, catalyst, ammonia storage, monitoring and control system, electrical, piping and other ancillary equipment.  The SCR system shall be designed</w:t>
      </w:r>
      <w:r w:rsidRPr="007E227F">
        <w:rPr>
          <w:strike/>
          <w:sz w:val="22"/>
          <w:szCs w:val="22"/>
          <w:highlight w:val="yellow"/>
        </w:rPr>
        <w:t>, constructed</w:t>
      </w:r>
      <w:r w:rsidRPr="007E227F">
        <w:rPr>
          <w:sz w:val="22"/>
          <w:szCs w:val="22"/>
        </w:rPr>
        <w:t xml:space="preserve"> and operated to achieve the permitted levels for NO</w:t>
      </w:r>
      <w:r w:rsidRPr="007E227F">
        <w:rPr>
          <w:sz w:val="22"/>
          <w:szCs w:val="22"/>
          <w:vertAlign w:val="subscript"/>
        </w:rPr>
        <w:t>X</w:t>
      </w:r>
      <w:r w:rsidRPr="007E227F">
        <w:rPr>
          <w:sz w:val="22"/>
          <w:szCs w:val="22"/>
        </w:rPr>
        <w:t xml:space="preserve"> emissions and ammonia slip.  </w:t>
      </w:r>
      <w:r w:rsidRPr="007E227F">
        <w:rPr>
          <w:iCs/>
          <w:sz w:val="22"/>
          <w:szCs w:val="22"/>
        </w:rPr>
        <w:t>{</w:t>
      </w:r>
      <w:r w:rsidRPr="007E227F">
        <w:rPr>
          <w:i/>
          <w:iCs/>
          <w:sz w:val="22"/>
          <w:szCs w:val="22"/>
        </w:rPr>
        <w:t>Note:  In accordance with 40 CFR 6</w:t>
      </w:r>
      <w:r w:rsidRPr="007E227F">
        <w:rPr>
          <w:i/>
          <w:iCs/>
          <w:strike/>
          <w:sz w:val="22"/>
          <w:szCs w:val="22"/>
          <w:highlight w:val="yellow"/>
        </w:rPr>
        <w:t>0</w:t>
      </w:r>
      <w:r w:rsidRPr="007E227F">
        <w:rPr>
          <w:i/>
          <w:iCs/>
          <w:sz w:val="22"/>
          <w:szCs w:val="22"/>
          <w:highlight w:val="yellow"/>
          <w:u w:val="double"/>
        </w:rPr>
        <w:t>8</w:t>
      </w:r>
      <w:r w:rsidRPr="007E227F">
        <w:rPr>
          <w:i/>
          <w:iCs/>
          <w:sz w:val="22"/>
          <w:szCs w:val="22"/>
        </w:rPr>
        <w:t xml:space="preserve">.130, the storage of ammonia shall comply with all applicable requirements of the Chemical Accident Prevention Provisions in 40 CFR 68 </w:t>
      </w:r>
      <w:r w:rsidRPr="007E227F">
        <w:rPr>
          <w:i/>
          <w:iCs/>
          <w:sz w:val="22"/>
          <w:szCs w:val="22"/>
          <w:highlight w:val="yellow"/>
          <w:u w:val="double"/>
        </w:rPr>
        <w:t xml:space="preserve">(see Facility-Wide Condition </w:t>
      </w:r>
      <w:r w:rsidR="00C76A61">
        <w:rPr>
          <w:b/>
          <w:i/>
          <w:iCs/>
          <w:sz w:val="22"/>
          <w:szCs w:val="22"/>
          <w:highlight w:val="yellow"/>
          <w:u w:val="double"/>
        </w:rPr>
        <w:t>FW8</w:t>
      </w:r>
      <w:r w:rsidRPr="007E227F">
        <w:rPr>
          <w:i/>
          <w:iCs/>
          <w:sz w:val="22"/>
          <w:szCs w:val="22"/>
          <w:highlight w:val="yellow"/>
          <w:u w:val="double"/>
        </w:rPr>
        <w:t>)</w:t>
      </w:r>
      <w:r w:rsidRPr="007E227F">
        <w:rPr>
          <w:i/>
          <w:iCs/>
          <w:sz w:val="22"/>
          <w:szCs w:val="22"/>
        </w:rPr>
        <w:t>.}</w:t>
      </w:r>
    </w:p>
    <w:p w:rsidR="007E227F" w:rsidRDefault="007E227F" w:rsidP="007E227F">
      <w:pPr>
        <w:pStyle w:val="ListParagraph"/>
        <w:tabs>
          <w:tab w:val="left" w:pos="360"/>
        </w:tabs>
        <w:spacing w:after="120"/>
        <w:contextualSpacing w:val="0"/>
        <w:rPr>
          <w:sz w:val="22"/>
          <w:szCs w:val="22"/>
        </w:rPr>
      </w:pPr>
      <w:r w:rsidRPr="007E227F">
        <w:rPr>
          <w:sz w:val="22"/>
          <w:szCs w:val="22"/>
        </w:rPr>
        <w:t>[Permit No. 0850001-010-AC</w:t>
      </w:r>
      <w:r w:rsidRPr="007E227F">
        <w:rPr>
          <w:sz w:val="22"/>
          <w:szCs w:val="22"/>
          <w:highlight w:val="yellow"/>
          <w:u w:val="double"/>
        </w:rPr>
        <w:t>/</w:t>
      </w:r>
      <w:r w:rsidRPr="007E227F">
        <w:rPr>
          <w:strike/>
          <w:sz w:val="22"/>
          <w:szCs w:val="22"/>
          <w:highlight w:val="yellow"/>
        </w:rPr>
        <w:t>(</w:t>
      </w:r>
      <w:r w:rsidRPr="007E227F">
        <w:rPr>
          <w:sz w:val="22"/>
          <w:szCs w:val="22"/>
        </w:rPr>
        <w:t>PSD-FL-327</w:t>
      </w:r>
      <w:r w:rsidRPr="007E227F">
        <w:rPr>
          <w:strike/>
          <w:sz w:val="22"/>
          <w:szCs w:val="22"/>
          <w:highlight w:val="yellow"/>
        </w:rPr>
        <w:t>)</w:t>
      </w:r>
      <w:r w:rsidRPr="007E227F">
        <w:rPr>
          <w:sz w:val="22"/>
          <w:szCs w:val="22"/>
        </w:rPr>
        <w:t>]</w:t>
      </w:r>
    </w:p>
    <w:p w:rsidR="007E227F" w:rsidRDefault="007E227F" w:rsidP="007E227F">
      <w:pPr>
        <w:pStyle w:val="ListParagraph"/>
        <w:numPr>
          <w:ilvl w:val="0"/>
          <w:numId w:val="1"/>
        </w:numPr>
        <w:tabs>
          <w:tab w:val="left" w:pos="360"/>
        </w:tabs>
        <w:spacing w:after="120"/>
        <w:contextualSpacing w:val="0"/>
        <w:rPr>
          <w:sz w:val="22"/>
          <w:szCs w:val="22"/>
        </w:rPr>
      </w:pPr>
      <w:r>
        <w:rPr>
          <w:sz w:val="22"/>
          <w:szCs w:val="22"/>
        </w:rPr>
        <w:t xml:space="preserve">To reflect current Title V air operation permit format standards, Specific Condition </w:t>
      </w:r>
      <w:r>
        <w:rPr>
          <w:b/>
          <w:sz w:val="22"/>
          <w:szCs w:val="22"/>
        </w:rPr>
        <w:t>D.7</w:t>
      </w:r>
      <w:r>
        <w:rPr>
          <w:sz w:val="22"/>
          <w:szCs w:val="22"/>
        </w:rPr>
        <w:t xml:space="preserve"> has been split into separate conditions (Specific Conditions </w:t>
      </w:r>
      <w:r>
        <w:rPr>
          <w:b/>
          <w:sz w:val="22"/>
          <w:szCs w:val="22"/>
        </w:rPr>
        <w:t>D.9</w:t>
      </w:r>
      <w:r>
        <w:rPr>
          <w:sz w:val="22"/>
          <w:szCs w:val="22"/>
        </w:rPr>
        <w:t>-</w:t>
      </w:r>
      <w:r>
        <w:rPr>
          <w:b/>
          <w:sz w:val="22"/>
          <w:szCs w:val="22"/>
        </w:rPr>
        <w:t>D.17</w:t>
      </w:r>
      <w:r>
        <w:rPr>
          <w:sz w:val="22"/>
          <w:szCs w:val="22"/>
        </w:rPr>
        <w:t xml:space="preserve">).  Revisions to CO monitoring provisions made in Permit No. 0850001-041-AC/PSD-FL-146J and 327F were incorporated into Specific Condition </w:t>
      </w:r>
      <w:r>
        <w:rPr>
          <w:b/>
          <w:sz w:val="22"/>
          <w:szCs w:val="22"/>
        </w:rPr>
        <w:t>D.9</w:t>
      </w:r>
      <w:r>
        <w:rPr>
          <w:sz w:val="22"/>
          <w:szCs w:val="22"/>
        </w:rPr>
        <w:t>.</w:t>
      </w:r>
      <w:r w:rsidR="00D52E11">
        <w:rPr>
          <w:sz w:val="22"/>
          <w:szCs w:val="22"/>
        </w:rPr>
        <w:t xml:space="preserve">  Alternative VE standards during periods of startup and shutdown were incorporated into Specific Condition </w:t>
      </w:r>
      <w:r w:rsidR="00D52E11">
        <w:rPr>
          <w:b/>
          <w:sz w:val="22"/>
          <w:szCs w:val="22"/>
        </w:rPr>
        <w:t>D15</w:t>
      </w:r>
      <w:r w:rsidR="00D52E11">
        <w:rPr>
          <w:sz w:val="22"/>
          <w:szCs w:val="22"/>
        </w:rPr>
        <w:t>.</w:t>
      </w:r>
      <w:r>
        <w:rPr>
          <w:sz w:val="22"/>
          <w:szCs w:val="22"/>
        </w:rPr>
        <w:t xml:space="preserve">  These conditions appear as follows:</w:t>
      </w:r>
    </w:p>
    <w:p w:rsidR="007E227F" w:rsidRPr="007E227F" w:rsidRDefault="007E227F" w:rsidP="00A237FB">
      <w:pPr>
        <w:numPr>
          <w:ilvl w:val="0"/>
          <w:numId w:val="69"/>
        </w:numPr>
        <w:tabs>
          <w:tab w:val="left" w:pos="1080"/>
        </w:tabs>
        <w:spacing w:before="120" w:after="120"/>
        <w:ind w:left="720"/>
        <w:contextualSpacing/>
        <w:rPr>
          <w:strike/>
          <w:sz w:val="22"/>
          <w:szCs w:val="22"/>
          <w:highlight w:val="yellow"/>
        </w:rPr>
      </w:pPr>
      <w:bookmarkStart w:id="36" w:name="_Ref503860575"/>
      <w:bookmarkStart w:id="37" w:name="_Hlk504134418"/>
      <w:r w:rsidRPr="007E227F">
        <w:rPr>
          <w:strike/>
          <w:sz w:val="22"/>
          <w:szCs w:val="22"/>
          <w:highlight w:val="yellow"/>
          <w:u w:val="single"/>
        </w:rPr>
        <w:t>Emissions Standards</w:t>
      </w:r>
      <w:r w:rsidRPr="007E227F">
        <w:rPr>
          <w:strike/>
          <w:sz w:val="22"/>
          <w:szCs w:val="22"/>
          <w:highlight w:val="yellow"/>
        </w:rPr>
        <w:t>.  Emissions from each gas turbine shall not exceed the following standards.</w:t>
      </w:r>
      <w:bookmarkEnd w:id="36"/>
    </w:p>
    <w:tbl>
      <w:tblPr>
        <w:tblW w:w="9090" w:type="dxa"/>
        <w:tblInd w:w="795"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Look w:val="0000" w:firstRow="0" w:lastRow="0" w:firstColumn="0" w:lastColumn="0" w:noHBand="0" w:noVBand="0"/>
      </w:tblPr>
      <w:tblGrid>
        <w:gridCol w:w="1515"/>
        <w:gridCol w:w="915"/>
        <w:gridCol w:w="2790"/>
        <w:gridCol w:w="1440"/>
        <w:gridCol w:w="1080"/>
        <w:gridCol w:w="90"/>
        <w:gridCol w:w="1260"/>
      </w:tblGrid>
      <w:tr w:rsidR="007E227F" w:rsidRPr="007E227F" w:rsidTr="007E227F">
        <w:trPr>
          <w:cantSplit/>
          <w:trHeight w:val="278"/>
        </w:trPr>
        <w:tc>
          <w:tcPr>
            <w:tcW w:w="1515" w:type="dxa"/>
            <w:vMerge w:val="restart"/>
            <w:tcBorders>
              <w:top w:val="single" w:sz="12" w:space="0" w:color="auto"/>
              <w:bottom w:val="single" w:sz="8" w:space="0" w:color="auto"/>
            </w:tcBorders>
            <w:shd w:val="pct5" w:color="auto" w:fill="auto"/>
            <w:vAlign w:val="center"/>
          </w:tcPr>
          <w:p w:rsidR="007E227F" w:rsidRPr="007E227F" w:rsidRDefault="007E227F" w:rsidP="007E227F">
            <w:pPr>
              <w:suppressAutoHyphens/>
              <w:spacing w:before="40" w:after="40"/>
              <w:jc w:val="center"/>
              <w:rPr>
                <w:b/>
                <w:strike/>
                <w:sz w:val="22"/>
                <w:szCs w:val="22"/>
                <w:highlight w:val="yellow"/>
              </w:rPr>
            </w:pPr>
            <w:bookmarkStart w:id="38" w:name="_Hlk504134464"/>
            <w:r w:rsidRPr="007E227F">
              <w:rPr>
                <w:b/>
                <w:strike/>
                <w:sz w:val="22"/>
                <w:szCs w:val="22"/>
                <w:highlight w:val="yellow"/>
              </w:rPr>
              <w:t>Pollutant</w:t>
            </w:r>
          </w:p>
        </w:tc>
        <w:tc>
          <w:tcPr>
            <w:tcW w:w="915" w:type="dxa"/>
            <w:vMerge w:val="restart"/>
            <w:tcBorders>
              <w:top w:val="single" w:sz="12" w:space="0" w:color="auto"/>
              <w:bottom w:val="single" w:sz="8" w:space="0" w:color="auto"/>
            </w:tcBorders>
            <w:shd w:val="pct5" w:color="auto" w:fill="auto"/>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Fuel</w:t>
            </w:r>
          </w:p>
        </w:tc>
        <w:tc>
          <w:tcPr>
            <w:tcW w:w="2790" w:type="dxa"/>
            <w:vMerge w:val="restart"/>
            <w:tcBorders>
              <w:top w:val="single" w:sz="12" w:space="0" w:color="auto"/>
              <w:bottom w:val="single" w:sz="8" w:space="0" w:color="auto"/>
            </w:tcBorders>
            <w:shd w:val="pct5" w:color="auto" w:fill="auto"/>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Method of Operation</w:t>
            </w:r>
          </w:p>
        </w:tc>
        <w:tc>
          <w:tcPr>
            <w:tcW w:w="2520" w:type="dxa"/>
            <w:gridSpan w:val="2"/>
            <w:tcBorders>
              <w:top w:val="single" w:sz="12" w:space="0" w:color="auto"/>
              <w:bottom w:val="single" w:sz="8" w:space="0" w:color="auto"/>
            </w:tcBorders>
            <w:shd w:val="pct5" w:color="auto" w:fill="auto"/>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Stack Test, 3-Run Average</w:t>
            </w:r>
          </w:p>
        </w:tc>
        <w:tc>
          <w:tcPr>
            <w:tcW w:w="1350" w:type="dxa"/>
            <w:gridSpan w:val="2"/>
            <w:tcBorders>
              <w:top w:val="single" w:sz="12" w:space="0" w:color="auto"/>
              <w:bottom w:val="single" w:sz="8" w:space="0" w:color="auto"/>
            </w:tcBorders>
            <w:shd w:val="pct5" w:color="auto" w:fill="auto"/>
            <w:vAlign w:val="center"/>
          </w:tcPr>
          <w:p w:rsidR="007E227F" w:rsidRPr="007E227F" w:rsidRDefault="007E227F" w:rsidP="007E227F">
            <w:pPr>
              <w:suppressAutoHyphens/>
              <w:spacing w:before="40"/>
              <w:jc w:val="center"/>
              <w:rPr>
                <w:b/>
                <w:strike/>
                <w:sz w:val="22"/>
                <w:szCs w:val="22"/>
                <w:highlight w:val="yellow"/>
              </w:rPr>
            </w:pPr>
            <w:r w:rsidRPr="007E227F">
              <w:rPr>
                <w:b/>
                <w:strike/>
                <w:sz w:val="22"/>
                <w:szCs w:val="22"/>
                <w:highlight w:val="yellow"/>
              </w:rPr>
              <w:t>CEMS</w:t>
            </w:r>
          </w:p>
          <w:p w:rsidR="007E227F" w:rsidRPr="007E227F" w:rsidRDefault="007E227F" w:rsidP="007E227F">
            <w:pPr>
              <w:suppressAutoHyphens/>
              <w:spacing w:after="40"/>
              <w:jc w:val="center"/>
              <w:rPr>
                <w:b/>
                <w:strike/>
                <w:sz w:val="22"/>
                <w:szCs w:val="22"/>
                <w:highlight w:val="yellow"/>
              </w:rPr>
            </w:pPr>
            <w:r w:rsidRPr="007E227F">
              <w:rPr>
                <w:b/>
                <w:strike/>
                <w:sz w:val="22"/>
                <w:szCs w:val="22"/>
                <w:highlight w:val="yellow"/>
              </w:rPr>
              <w:t>Block Average</w:t>
            </w:r>
          </w:p>
        </w:tc>
      </w:tr>
      <w:tr w:rsidR="007E227F" w:rsidRPr="007E227F" w:rsidTr="007E227F">
        <w:trPr>
          <w:cantSplit/>
          <w:trHeight w:val="277"/>
        </w:trPr>
        <w:tc>
          <w:tcPr>
            <w:tcW w:w="1515" w:type="dxa"/>
            <w:vMerge/>
            <w:tcBorders>
              <w:top w:val="single" w:sz="8" w:space="0" w:color="auto"/>
              <w:bottom w:val="single" w:sz="12" w:space="0" w:color="auto"/>
            </w:tcBorders>
            <w:shd w:val="pct5" w:color="auto" w:fill="auto"/>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tcBorders>
              <w:top w:val="single" w:sz="8" w:space="0" w:color="auto"/>
              <w:bottom w:val="single" w:sz="12" w:space="0" w:color="auto"/>
            </w:tcBorders>
            <w:shd w:val="pct5" w:color="auto" w:fill="auto"/>
            <w:vAlign w:val="center"/>
          </w:tcPr>
          <w:p w:rsidR="007E227F" w:rsidRPr="007E227F" w:rsidRDefault="007E227F" w:rsidP="007E227F">
            <w:pPr>
              <w:suppressAutoHyphens/>
              <w:spacing w:before="40" w:after="40"/>
              <w:jc w:val="center"/>
              <w:rPr>
                <w:b/>
                <w:strike/>
                <w:sz w:val="22"/>
                <w:szCs w:val="22"/>
                <w:highlight w:val="yellow"/>
              </w:rPr>
            </w:pPr>
          </w:p>
        </w:tc>
        <w:tc>
          <w:tcPr>
            <w:tcW w:w="2790" w:type="dxa"/>
            <w:vMerge/>
            <w:tcBorders>
              <w:top w:val="single" w:sz="8" w:space="0" w:color="auto"/>
              <w:bottom w:val="single" w:sz="12" w:space="0" w:color="auto"/>
            </w:tcBorders>
            <w:shd w:val="pct5" w:color="auto" w:fill="auto"/>
            <w:vAlign w:val="center"/>
          </w:tcPr>
          <w:p w:rsidR="007E227F" w:rsidRPr="007E227F" w:rsidRDefault="007E227F" w:rsidP="007E227F">
            <w:pPr>
              <w:suppressAutoHyphens/>
              <w:spacing w:before="40" w:after="40"/>
              <w:jc w:val="center"/>
              <w:rPr>
                <w:b/>
                <w:strike/>
                <w:sz w:val="22"/>
                <w:szCs w:val="22"/>
                <w:highlight w:val="yellow"/>
              </w:rPr>
            </w:pPr>
          </w:p>
        </w:tc>
        <w:tc>
          <w:tcPr>
            <w:tcW w:w="1440" w:type="dxa"/>
            <w:tcBorders>
              <w:top w:val="single" w:sz="8" w:space="0" w:color="auto"/>
              <w:bottom w:val="single" w:sz="12" w:space="0" w:color="auto"/>
            </w:tcBorders>
            <w:shd w:val="pct5" w:color="auto" w:fill="auto"/>
            <w:vAlign w:val="center"/>
          </w:tcPr>
          <w:p w:rsidR="007E227F" w:rsidRPr="007E227F" w:rsidRDefault="007E227F" w:rsidP="007E227F">
            <w:pPr>
              <w:suppressAutoHyphens/>
              <w:spacing w:after="40"/>
              <w:jc w:val="center"/>
              <w:rPr>
                <w:b/>
                <w:strike/>
                <w:sz w:val="22"/>
                <w:szCs w:val="22"/>
                <w:highlight w:val="yellow"/>
              </w:rPr>
            </w:pPr>
            <w:r w:rsidRPr="007E227F">
              <w:rPr>
                <w:b/>
                <w:strike/>
                <w:sz w:val="22"/>
                <w:szCs w:val="22"/>
                <w:highlight w:val="yellow"/>
              </w:rPr>
              <w:t>ppmvd @ 15% O2</w:t>
            </w:r>
          </w:p>
        </w:tc>
        <w:tc>
          <w:tcPr>
            <w:tcW w:w="1080" w:type="dxa"/>
            <w:tcBorders>
              <w:top w:val="single" w:sz="8" w:space="0" w:color="auto"/>
              <w:bottom w:val="single" w:sz="12" w:space="0" w:color="auto"/>
            </w:tcBorders>
            <w:shd w:val="pct5" w:color="auto" w:fill="auto"/>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lb/hour</w:t>
            </w:r>
          </w:p>
        </w:tc>
        <w:tc>
          <w:tcPr>
            <w:tcW w:w="1350" w:type="dxa"/>
            <w:gridSpan w:val="2"/>
            <w:tcBorders>
              <w:top w:val="single" w:sz="8" w:space="0" w:color="auto"/>
              <w:bottom w:val="single" w:sz="12" w:space="0" w:color="auto"/>
            </w:tcBorders>
            <w:shd w:val="pct5" w:color="auto" w:fill="auto"/>
            <w:vAlign w:val="center"/>
          </w:tcPr>
          <w:p w:rsidR="007E227F" w:rsidRPr="007E227F" w:rsidRDefault="007E227F" w:rsidP="007E227F">
            <w:pPr>
              <w:suppressAutoHyphens/>
              <w:spacing w:before="40"/>
              <w:jc w:val="center"/>
              <w:rPr>
                <w:b/>
                <w:strike/>
                <w:sz w:val="22"/>
                <w:szCs w:val="22"/>
                <w:highlight w:val="yellow"/>
              </w:rPr>
            </w:pPr>
            <w:r w:rsidRPr="007E227F">
              <w:rPr>
                <w:b/>
                <w:strike/>
                <w:sz w:val="22"/>
                <w:szCs w:val="22"/>
                <w:highlight w:val="yellow"/>
              </w:rPr>
              <w:t>ppmvd @ 15% O2</w:t>
            </w:r>
          </w:p>
        </w:tc>
      </w:tr>
      <w:tr w:rsidR="007E227F" w:rsidRPr="007E227F" w:rsidTr="007E227F">
        <w:trPr>
          <w:cantSplit/>
          <w:trHeight w:val="360"/>
        </w:trPr>
        <w:tc>
          <w:tcPr>
            <w:tcW w:w="1515" w:type="dxa"/>
            <w:vMerge w:val="restart"/>
            <w:tcBorders>
              <w:top w:val="single" w:sz="12" w:space="0" w:color="auto"/>
            </w:tcBorders>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CO</w:t>
            </w:r>
            <w:r w:rsidRPr="007E227F">
              <w:rPr>
                <w:b/>
                <w:strike/>
                <w:sz w:val="22"/>
                <w:szCs w:val="22"/>
                <w:highlight w:val="yellow"/>
                <w:vertAlign w:val="superscript"/>
              </w:rPr>
              <w:t xml:space="preserve"> a</w:t>
            </w:r>
          </w:p>
        </w:tc>
        <w:tc>
          <w:tcPr>
            <w:tcW w:w="915"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w:t>
            </w:r>
          </w:p>
        </w:tc>
        <w:tc>
          <w:tcPr>
            <w:tcW w:w="2790"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w:t>
            </w:r>
          </w:p>
        </w:tc>
        <w:tc>
          <w:tcPr>
            <w:tcW w:w="1440"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14.4</w:t>
            </w:r>
          </w:p>
        </w:tc>
        <w:tc>
          <w:tcPr>
            <w:tcW w:w="1080"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64.7</w:t>
            </w:r>
          </w:p>
        </w:tc>
        <w:tc>
          <w:tcPr>
            <w:tcW w:w="1350" w:type="dxa"/>
            <w:gridSpan w:val="2"/>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15.0, 24-hr</w:t>
            </w:r>
          </w:p>
        </w:tc>
      </w:tr>
      <w:tr w:rsidR="007E227F" w:rsidRPr="007E227F" w:rsidTr="007E227F">
        <w:trPr>
          <w:cantSplit/>
          <w:trHeight w:val="360"/>
        </w:trPr>
        <w:tc>
          <w:tcPr>
            <w:tcW w:w="1515" w:type="dxa"/>
            <w:vMerge/>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val="restart"/>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Gas</w:t>
            </w:r>
          </w:p>
        </w:tc>
        <w:tc>
          <w:tcPr>
            <w:tcW w:w="2790" w:type="dxa"/>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 Normal</w:t>
            </w:r>
          </w:p>
        </w:tc>
        <w:tc>
          <w:tcPr>
            <w:tcW w:w="1440" w:type="dxa"/>
            <w:vAlign w:val="center"/>
          </w:tcPr>
          <w:p w:rsidR="007E227F" w:rsidRPr="007E227F" w:rsidRDefault="007E227F" w:rsidP="007E227F">
            <w:pPr>
              <w:spacing w:before="40" w:after="40"/>
              <w:jc w:val="center"/>
              <w:rPr>
                <w:strike/>
                <w:sz w:val="22"/>
                <w:szCs w:val="22"/>
                <w:highlight w:val="yellow"/>
              </w:rPr>
            </w:pPr>
            <w:r w:rsidRPr="007E227F">
              <w:rPr>
                <w:strike/>
                <w:sz w:val="22"/>
                <w:szCs w:val="22"/>
                <w:highlight w:val="yellow"/>
              </w:rPr>
              <w:t>7.4</w:t>
            </w:r>
          </w:p>
        </w:tc>
        <w:tc>
          <w:tcPr>
            <w:tcW w:w="1080" w:type="dxa"/>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27.5</w:t>
            </w:r>
          </w:p>
        </w:tc>
        <w:tc>
          <w:tcPr>
            <w:tcW w:w="1350" w:type="dxa"/>
            <w:gridSpan w:val="2"/>
            <w:vMerge w:val="restart"/>
            <w:vAlign w:val="center"/>
          </w:tcPr>
          <w:p w:rsidR="007E227F" w:rsidRPr="007E227F" w:rsidRDefault="007E227F" w:rsidP="007E227F">
            <w:pPr>
              <w:tabs>
                <w:tab w:val="left" w:pos="510"/>
                <w:tab w:val="center" w:pos="1025"/>
              </w:tabs>
              <w:suppressAutoHyphens/>
              <w:spacing w:before="40" w:after="40"/>
              <w:jc w:val="center"/>
              <w:rPr>
                <w:strike/>
                <w:sz w:val="22"/>
                <w:szCs w:val="22"/>
                <w:highlight w:val="yellow"/>
              </w:rPr>
            </w:pPr>
            <w:r w:rsidRPr="007E227F">
              <w:rPr>
                <w:strike/>
                <w:sz w:val="22"/>
                <w:szCs w:val="22"/>
                <w:highlight w:val="yellow"/>
              </w:rPr>
              <w:t>10.0, 24-hr</w:t>
            </w:r>
          </w:p>
        </w:tc>
      </w:tr>
      <w:tr w:rsidR="007E227F" w:rsidRPr="007E227F" w:rsidTr="007E227F">
        <w:trPr>
          <w:cantSplit/>
          <w:trHeight w:val="360"/>
        </w:trPr>
        <w:tc>
          <w:tcPr>
            <w:tcW w:w="1515" w:type="dxa"/>
            <w:vMerge/>
            <w:tcBorders>
              <w:bottom w:val="single" w:sz="12" w:space="0" w:color="auto"/>
            </w:tcBorders>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p>
        </w:tc>
        <w:tc>
          <w:tcPr>
            <w:tcW w:w="2790" w:type="dxa"/>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 All Modes</w:t>
            </w:r>
          </w:p>
        </w:tc>
        <w:tc>
          <w:tcPr>
            <w:tcW w:w="1440" w:type="dxa"/>
            <w:tcBorders>
              <w:bottom w:val="single" w:sz="12" w:space="0" w:color="auto"/>
            </w:tcBorders>
            <w:vAlign w:val="center"/>
          </w:tcPr>
          <w:p w:rsidR="007E227F" w:rsidRPr="007E227F" w:rsidRDefault="007E227F" w:rsidP="007E227F">
            <w:pPr>
              <w:spacing w:before="40" w:after="40"/>
              <w:jc w:val="center"/>
              <w:rPr>
                <w:strike/>
                <w:sz w:val="22"/>
                <w:szCs w:val="22"/>
                <w:highlight w:val="yellow"/>
              </w:rPr>
            </w:pPr>
            <w:r w:rsidRPr="007E227F">
              <w:rPr>
                <w:strike/>
                <w:sz w:val="22"/>
                <w:szCs w:val="22"/>
                <w:highlight w:val="yellow"/>
              </w:rPr>
              <w:t>NA</w:t>
            </w:r>
          </w:p>
        </w:tc>
        <w:tc>
          <w:tcPr>
            <w:tcW w:w="1080" w:type="dxa"/>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c>
          <w:tcPr>
            <w:tcW w:w="1350" w:type="dxa"/>
            <w:gridSpan w:val="2"/>
            <w:vMerge/>
            <w:tcBorders>
              <w:bottom w:val="single" w:sz="12" w:space="0" w:color="auto"/>
            </w:tcBorders>
            <w:vAlign w:val="center"/>
          </w:tcPr>
          <w:p w:rsidR="007E227F" w:rsidRPr="007E227F" w:rsidRDefault="007E227F" w:rsidP="007E227F">
            <w:pPr>
              <w:tabs>
                <w:tab w:val="left" w:pos="510"/>
                <w:tab w:val="center" w:pos="1025"/>
              </w:tabs>
              <w:suppressAutoHyphens/>
              <w:spacing w:before="40" w:after="40"/>
              <w:jc w:val="center"/>
              <w:rPr>
                <w:strike/>
                <w:sz w:val="22"/>
                <w:szCs w:val="22"/>
                <w:highlight w:val="yellow"/>
              </w:rPr>
            </w:pPr>
          </w:p>
        </w:tc>
      </w:tr>
      <w:tr w:rsidR="007E227F" w:rsidRPr="007E227F" w:rsidTr="007E227F">
        <w:trPr>
          <w:cantSplit/>
          <w:trHeight w:val="312"/>
        </w:trPr>
        <w:tc>
          <w:tcPr>
            <w:tcW w:w="1515" w:type="dxa"/>
            <w:vMerge w:val="restart"/>
            <w:tcBorders>
              <w:top w:val="single" w:sz="12" w:space="0" w:color="auto"/>
              <w:bottom w:val="single" w:sz="8" w:space="0" w:color="auto"/>
            </w:tcBorders>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NO</w:t>
            </w:r>
            <w:r w:rsidRPr="007E227F">
              <w:rPr>
                <w:b/>
                <w:strike/>
                <w:sz w:val="22"/>
                <w:szCs w:val="22"/>
                <w:highlight w:val="yellow"/>
                <w:vertAlign w:val="subscript"/>
              </w:rPr>
              <w:t>X</w:t>
            </w:r>
            <w:r w:rsidRPr="007E227F">
              <w:rPr>
                <w:b/>
                <w:strike/>
                <w:sz w:val="22"/>
                <w:szCs w:val="22"/>
                <w:highlight w:val="yellow"/>
                <w:vertAlign w:val="superscript"/>
              </w:rPr>
              <w:t xml:space="preserve"> b</w:t>
            </w:r>
          </w:p>
        </w:tc>
        <w:tc>
          <w:tcPr>
            <w:tcW w:w="915"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w:t>
            </w:r>
          </w:p>
        </w:tc>
        <w:tc>
          <w:tcPr>
            <w:tcW w:w="2790" w:type="dxa"/>
            <w:tcBorders>
              <w:top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 w/SCR</w:t>
            </w:r>
          </w:p>
        </w:tc>
        <w:tc>
          <w:tcPr>
            <w:tcW w:w="1440" w:type="dxa"/>
            <w:tcBorders>
              <w:top w:val="single" w:sz="12" w:space="0" w:color="auto"/>
            </w:tcBorders>
            <w:vAlign w:val="center"/>
          </w:tcPr>
          <w:p w:rsidR="007E227F" w:rsidRPr="007E227F" w:rsidRDefault="007E227F" w:rsidP="007E227F">
            <w:pPr>
              <w:spacing w:before="40" w:after="40"/>
              <w:jc w:val="center"/>
              <w:rPr>
                <w:strike/>
                <w:sz w:val="22"/>
                <w:szCs w:val="22"/>
                <w:highlight w:val="yellow"/>
              </w:rPr>
            </w:pPr>
            <w:r w:rsidRPr="007E227F">
              <w:rPr>
                <w:strike/>
                <w:sz w:val="22"/>
                <w:szCs w:val="22"/>
                <w:highlight w:val="yellow"/>
              </w:rPr>
              <w:t>10.0</w:t>
            </w:r>
          </w:p>
        </w:tc>
        <w:tc>
          <w:tcPr>
            <w:tcW w:w="1080" w:type="dxa"/>
            <w:tcBorders>
              <w:top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76.0</w:t>
            </w:r>
          </w:p>
        </w:tc>
        <w:tc>
          <w:tcPr>
            <w:tcW w:w="1350" w:type="dxa"/>
            <w:gridSpan w:val="2"/>
            <w:tcBorders>
              <w:top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10.0, 24-hr</w:t>
            </w:r>
          </w:p>
        </w:tc>
      </w:tr>
      <w:tr w:rsidR="007E227F" w:rsidRPr="007E227F" w:rsidTr="007E227F">
        <w:trPr>
          <w:cantSplit/>
          <w:trHeight w:val="360"/>
        </w:trPr>
        <w:tc>
          <w:tcPr>
            <w:tcW w:w="1515" w:type="dxa"/>
            <w:vMerge/>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val="restart"/>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Gas</w:t>
            </w:r>
          </w:p>
        </w:tc>
        <w:tc>
          <w:tcPr>
            <w:tcW w:w="2790" w:type="dxa"/>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 w/SCR, Normal</w:t>
            </w:r>
          </w:p>
        </w:tc>
        <w:tc>
          <w:tcPr>
            <w:tcW w:w="1440" w:type="dxa"/>
            <w:vAlign w:val="center"/>
          </w:tcPr>
          <w:p w:rsidR="007E227F" w:rsidRPr="007E227F" w:rsidRDefault="007E227F" w:rsidP="007E227F">
            <w:pPr>
              <w:spacing w:before="40" w:after="40"/>
              <w:jc w:val="center"/>
              <w:rPr>
                <w:strike/>
                <w:sz w:val="22"/>
                <w:szCs w:val="22"/>
                <w:highlight w:val="yellow"/>
              </w:rPr>
            </w:pPr>
            <w:r w:rsidRPr="007E227F">
              <w:rPr>
                <w:strike/>
                <w:sz w:val="22"/>
                <w:szCs w:val="22"/>
                <w:highlight w:val="yellow"/>
              </w:rPr>
              <w:t>2.5</w:t>
            </w:r>
          </w:p>
        </w:tc>
        <w:tc>
          <w:tcPr>
            <w:tcW w:w="1080" w:type="dxa"/>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16.3</w:t>
            </w:r>
          </w:p>
        </w:tc>
        <w:tc>
          <w:tcPr>
            <w:tcW w:w="1350" w:type="dxa"/>
            <w:gridSpan w:val="2"/>
            <w:vMerge w:val="restart"/>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2.5, 24-hr</w:t>
            </w:r>
          </w:p>
        </w:tc>
      </w:tr>
      <w:tr w:rsidR="007E227F" w:rsidRPr="007E227F" w:rsidTr="007E227F">
        <w:trPr>
          <w:cantSplit/>
          <w:trHeight w:val="360"/>
        </w:trPr>
        <w:tc>
          <w:tcPr>
            <w:tcW w:w="1515" w:type="dxa"/>
            <w:vMerge/>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vAlign w:val="center"/>
          </w:tcPr>
          <w:p w:rsidR="007E227F" w:rsidRPr="007E227F" w:rsidRDefault="007E227F" w:rsidP="007E227F">
            <w:pPr>
              <w:suppressAutoHyphens/>
              <w:spacing w:before="40" w:after="40"/>
              <w:jc w:val="center"/>
              <w:rPr>
                <w:strike/>
                <w:sz w:val="22"/>
                <w:szCs w:val="22"/>
                <w:highlight w:val="yellow"/>
              </w:rPr>
            </w:pPr>
          </w:p>
        </w:tc>
        <w:tc>
          <w:tcPr>
            <w:tcW w:w="2790" w:type="dxa"/>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Combined Cycle w/SCR and DB</w:t>
            </w:r>
          </w:p>
        </w:tc>
        <w:tc>
          <w:tcPr>
            <w:tcW w:w="1440" w:type="dxa"/>
            <w:vAlign w:val="center"/>
          </w:tcPr>
          <w:p w:rsidR="007E227F" w:rsidRPr="007E227F" w:rsidRDefault="007E227F" w:rsidP="007E227F">
            <w:pPr>
              <w:spacing w:before="40" w:after="40"/>
              <w:jc w:val="center"/>
              <w:rPr>
                <w:strike/>
                <w:sz w:val="22"/>
                <w:szCs w:val="22"/>
                <w:highlight w:val="yellow"/>
              </w:rPr>
            </w:pPr>
            <w:r w:rsidRPr="007E227F">
              <w:rPr>
                <w:strike/>
                <w:sz w:val="22"/>
                <w:szCs w:val="22"/>
                <w:highlight w:val="yellow"/>
              </w:rPr>
              <w:t>2.5</w:t>
            </w:r>
          </w:p>
        </w:tc>
        <w:tc>
          <w:tcPr>
            <w:tcW w:w="1080" w:type="dxa"/>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23.6</w:t>
            </w:r>
          </w:p>
        </w:tc>
        <w:tc>
          <w:tcPr>
            <w:tcW w:w="1350" w:type="dxa"/>
            <w:gridSpan w:val="2"/>
            <w:vMerge/>
            <w:vAlign w:val="center"/>
          </w:tcPr>
          <w:p w:rsidR="007E227F" w:rsidRPr="007E227F" w:rsidRDefault="007E227F" w:rsidP="007E227F">
            <w:pPr>
              <w:suppressAutoHyphens/>
              <w:spacing w:before="40" w:after="40"/>
              <w:jc w:val="center"/>
              <w:rPr>
                <w:strike/>
                <w:sz w:val="22"/>
                <w:szCs w:val="22"/>
                <w:highlight w:val="yellow"/>
              </w:rPr>
            </w:pPr>
          </w:p>
        </w:tc>
      </w:tr>
      <w:tr w:rsidR="007E227F" w:rsidRPr="007E227F" w:rsidTr="007E227F">
        <w:trPr>
          <w:cantSplit/>
          <w:trHeight w:val="360"/>
        </w:trPr>
        <w:tc>
          <w:tcPr>
            <w:tcW w:w="1515" w:type="dxa"/>
            <w:vMerge/>
            <w:tcBorders>
              <w:bottom w:val="single" w:sz="12" w:space="0" w:color="auto"/>
            </w:tcBorders>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p>
        </w:tc>
        <w:tc>
          <w:tcPr>
            <w:tcW w:w="2790" w:type="dxa"/>
            <w:tcBorders>
              <w:bottom w:val="single" w:sz="12" w:space="0" w:color="auto"/>
            </w:tcBorders>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Combined Cycle w/SCR, All Modes</w:t>
            </w:r>
          </w:p>
        </w:tc>
        <w:tc>
          <w:tcPr>
            <w:tcW w:w="1440" w:type="dxa"/>
            <w:tcBorders>
              <w:bottom w:val="single" w:sz="12" w:space="0" w:color="auto"/>
            </w:tcBorders>
            <w:vAlign w:val="center"/>
          </w:tcPr>
          <w:p w:rsidR="007E227F" w:rsidRPr="007E227F" w:rsidRDefault="007E227F" w:rsidP="007E227F">
            <w:pPr>
              <w:spacing w:before="40" w:after="40"/>
              <w:jc w:val="center"/>
              <w:rPr>
                <w:strike/>
                <w:sz w:val="22"/>
                <w:szCs w:val="22"/>
                <w:highlight w:val="yellow"/>
              </w:rPr>
            </w:pPr>
            <w:r w:rsidRPr="007E227F">
              <w:rPr>
                <w:strike/>
                <w:sz w:val="22"/>
                <w:szCs w:val="22"/>
                <w:highlight w:val="yellow"/>
              </w:rPr>
              <w:t>NA</w:t>
            </w:r>
          </w:p>
        </w:tc>
        <w:tc>
          <w:tcPr>
            <w:tcW w:w="1080" w:type="dxa"/>
            <w:tcBorders>
              <w:bottom w:val="single" w:sz="12" w:space="0" w:color="auto"/>
            </w:tcBorders>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NA</w:t>
            </w:r>
          </w:p>
        </w:tc>
        <w:tc>
          <w:tcPr>
            <w:tcW w:w="1350" w:type="dxa"/>
            <w:gridSpan w:val="2"/>
            <w:vMerge/>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p>
        </w:tc>
      </w:tr>
      <w:tr w:rsidR="007E227F" w:rsidRPr="007E227F" w:rsidTr="007E227F">
        <w:trPr>
          <w:cantSplit/>
          <w:trHeight w:val="360"/>
        </w:trPr>
        <w:tc>
          <w:tcPr>
            <w:tcW w:w="1515" w:type="dxa"/>
            <w:vMerge w:val="restart"/>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NO</w:t>
            </w:r>
            <w:r w:rsidRPr="007E227F">
              <w:rPr>
                <w:b/>
                <w:strike/>
                <w:sz w:val="22"/>
                <w:szCs w:val="22"/>
                <w:highlight w:val="yellow"/>
                <w:vertAlign w:val="subscript"/>
              </w:rPr>
              <w:t>X</w:t>
            </w:r>
            <w:r w:rsidRPr="007E227F">
              <w:rPr>
                <w:b/>
                <w:strike/>
                <w:sz w:val="22"/>
                <w:szCs w:val="22"/>
                <w:highlight w:val="yellow"/>
              </w:rPr>
              <w:t xml:space="preserve"> (NSPS)</w:t>
            </w:r>
            <w:r w:rsidRPr="007E227F">
              <w:rPr>
                <w:b/>
                <w:strike/>
                <w:sz w:val="22"/>
                <w:szCs w:val="22"/>
                <w:highlight w:val="yellow"/>
                <w:vertAlign w:val="superscript"/>
              </w:rPr>
              <w:t>g.</w:t>
            </w:r>
          </w:p>
        </w:tc>
        <w:tc>
          <w:tcPr>
            <w:tcW w:w="915" w:type="dxa"/>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Gas</w:t>
            </w:r>
          </w:p>
        </w:tc>
        <w:tc>
          <w:tcPr>
            <w:tcW w:w="2790" w:type="dxa"/>
            <w:vMerge w:val="restart"/>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All modes (&gt; 75% of peak load)</w:t>
            </w:r>
          </w:p>
        </w:tc>
        <w:tc>
          <w:tcPr>
            <w:tcW w:w="1440" w:type="dxa"/>
            <w:tcBorders>
              <w:bottom w:val="single" w:sz="12" w:space="0" w:color="auto"/>
            </w:tcBorders>
            <w:vAlign w:val="center"/>
          </w:tcPr>
          <w:p w:rsidR="007E227F" w:rsidRPr="007E227F" w:rsidRDefault="007E227F" w:rsidP="007E227F">
            <w:pPr>
              <w:spacing w:before="40" w:after="40"/>
              <w:jc w:val="center"/>
              <w:rPr>
                <w:strike/>
                <w:sz w:val="22"/>
                <w:szCs w:val="22"/>
                <w:highlight w:val="yellow"/>
                <w:vertAlign w:val="superscript"/>
              </w:rPr>
            </w:pPr>
            <w:r w:rsidRPr="007E227F">
              <w:rPr>
                <w:strike/>
                <w:sz w:val="22"/>
                <w:szCs w:val="22"/>
                <w:highlight w:val="yellow"/>
              </w:rPr>
              <w:t>15</w:t>
            </w:r>
            <w:r w:rsidRPr="007E227F">
              <w:rPr>
                <w:b/>
                <w:strike/>
                <w:sz w:val="22"/>
                <w:szCs w:val="22"/>
                <w:highlight w:val="yellow"/>
                <w:vertAlign w:val="superscript"/>
              </w:rPr>
              <w:t>h.</w:t>
            </w:r>
          </w:p>
        </w:tc>
        <w:tc>
          <w:tcPr>
            <w:tcW w:w="1080" w:type="dxa"/>
            <w:tcBorders>
              <w:bottom w:val="single" w:sz="12" w:space="0" w:color="auto"/>
            </w:tcBorders>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N/A</w:t>
            </w:r>
          </w:p>
        </w:tc>
        <w:tc>
          <w:tcPr>
            <w:tcW w:w="1350" w:type="dxa"/>
            <w:gridSpan w:val="2"/>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r>
      <w:tr w:rsidR="007E227F" w:rsidRPr="007E227F" w:rsidTr="007E227F">
        <w:trPr>
          <w:cantSplit/>
          <w:trHeight w:val="360"/>
        </w:trPr>
        <w:tc>
          <w:tcPr>
            <w:tcW w:w="1515" w:type="dxa"/>
            <w:vMerge/>
            <w:vAlign w:val="center"/>
          </w:tcPr>
          <w:p w:rsidR="007E227F" w:rsidRPr="007E227F" w:rsidRDefault="007E227F" w:rsidP="007E227F">
            <w:pPr>
              <w:suppressAutoHyphens/>
              <w:spacing w:before="40" w:after="40"/>
              <w:jc w:val="center"/>
              <w:rPr>
                <w:b/>
                <w:strike/>
                <w:sz w:val="22"/>
                <w:szCs w:val="22"/>
                <w:highlight w:val="yellow"/>
              </w:rPr>
            </w:pPr>
          </w:p>
        </w:tc>
        <w:tc>
          <w:tcPr>
            <w:tcW w:w="915" w:type="dxa"/>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w:t>
            </w:r>
          </w:p>
        </w:tc>
        <w:tc>
          <w:tcPr>
            <w:tcW w:w="2790" w:type="dxa"/>
            <w:vMerge/>
            <w:tcBorders>
              <w:bottom w:val="single" w:sz="12" w:space="0" w:color="auto"/>
            </w:tcBorders>
            <w:vAlign w:val="center"/>
          </w:tcPr>
          <w:p w:rsidR="007E227F" w:rsidRPr="007E227F" w:rsidRDefault="007E227F" w:rsidP="007E227F">
            <w:pPr>
              <w:suppressAutoHyphens/>
              <w:spacing w:before="40"/>
              <w:jc w:val="center"/>
              <w:rPr>
                <w:strike/>
                <w:sz w:val="22"/>
                <w:szCs w:val="22"/>
                <w:highlight w:val="yellow"/>
              </w:rPr>
            </w:pPr>
          </w:p>
        </w:tc>
        <w:tc>
          <w:tcPr>
            <w:tcW w:w="1440" w:type="dxa"/>
            <w:tcBorders>
              <w:bottom w:val="single" w:sz="12" w:space="0" w:color="auto"/>
            </w:tcBorders>
            <w:vAlign w:val="center"/>
          </w:tcPr>
          <w:p w:rsidR="007E227F" w:rsidRPr="007E227F" w:rsidRDefault="007E227F" w:rsidP="007E227F">
            <w:pPr>
              <w:spacing w:before="40" w:after="40"/>
              <w:jc w:val="center"/>
              <w:rPr>
                <w:strike/>
                <w:sz w:val="22"/>
                <w:szCs w:val="22"/>
                <w:highlight w:val="yellow"/>
                <w:vertAlign w:val="superscript"/>
              </w:rPr>
            </w:pPr>
            <w:r w:rsidRPr="007E227F">
              <w:rPr>
                <w:strike/>
                <w:sz w:val="22"/>
                <w:szCs w:val="22"/>
                <w:highlight w:val="yellow"/>
              </w:rPr>
              <w:t>42</w:t>
            </w:r>
            <w:r w:rsidRPr="007E227F">
              <w:rPr>
                <w:b/>
                <w:strike/>
                <w:sz w:val="22"/>
                <w:szCs w:val="22"/>
                <w:highlight w:val="yellow"/>
                <w:vertAlign w:val="superscript"/>
              </w:rPr>
              <w:t>i.</w:t>
            </w:r>
          </w:p>
        </w:tc>
        <w:tc>
          <w:tcPr>
            <w:tcW w:w="1080" w:type="dxa"/>
            <w:tcBorders>
              <w:bottom w:val="single" w:sz="12" w:space="0" w:color="auto"/>
            </w:tcBorders>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N/A</w:t>
            </w:r>
          </w:p>
        </w:tc>
        <w:tc>
          <w:tcPr>
            <w:tcW w:w="1350" w:type="dxa"/>
            <w:gridSpan w:val="2"/>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r>
      <w:tr w:rsidR="007E227F" w:rsidRPr="007E227F" w:rsidTr="007E227F">
        <w:trPr>
          <w:cantSplit/>
          <w:trHeight w:val="360"/>
        </w:trPr>
        <w:tc>
          <w:tcPr>
            <w:tcW w:w="1515" w:type="dxa"/>
            <w:vMerge/>
            <w:tcBorders>
              <w:bottom w:val="single" w:sz="12" w:space="0" w:color="auto"/>
            </w:tcBorders>
            <w:vAlign w:val="center"/>
          </w:tcPr>
          <w:p w:rsidR="007E227F" w:rsidRPr="007E227F" w:rsidRDefault="007E227F" w:rsidP="007E227F">
            <w:pPr>
              <w:suppressAutoHyphens/>
              <w:spacing w:before="40" w:after="40"/>
              <w:jc w:val="center"/>
              <w:rPr>
                <w:b/>
                <w:strike/>
                <w:sz w:val="22"/>
                <w:szCs w:val="22"/>
                <w:highlight w:val="yellow"/>
              </w:rPr>
            </w:pPr>
          </w:p>
        </w:tc>
        <w:tc>
          <w:tcPr>
            <w:tcW w:w="915" w:type="dxa"/>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Oil/Gas</w:t>
            </w:r>
          </w:p>
        </w:tc>
        <w:tc>
          <w:tcPr>
            <w:tcW w:w="2790" w:type="dxa"/>
            <w:tcBorders>
              <w:bottom w:val="single" w:sz="12" w:space="0" w:color="auto"/>
            </w:tcBorders>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All modes (&lt; 75% of peak load)</w:t>
            </w:r>
          </w:p>
        </w:tc>
        <w:tc>
          <w:tcPr>
            <w:tcW w:w="1440" w:type="dxa"/>
            <w:tcBorders>
              <w:bottom w:val="single" w:sz="12" w:space="0" w:color="auto"/>
            </w:tcBorders>
            <w:vAlign w:val="center"/>
          </w:tcPr>
          <w:p w:rsidR="007E227F" w:rsidRPr="007E227F" w:rsidRDefault="007E227F" w:rsidP="007E227F">
            <w:pPr>
              <w:spacing w:before="40" w:after="40"/>
              <w:jc w:val="center"/>
              <w:rPr>
                <w:strike/>
                <w:sz w:val="22"/>
                <w:szCs w:val="22"/>
                <w:highlight w:val="yellow"/>
                <w:vertAlign w:val="superscript"/>
              </w:rPr>
            </w:pPr>
            <w:r w:rsidRPr="007E227F">
              <w:rPr>
                <w:strike/>
                <w:sz w:val="22"/>
                <w:szCs w:val="22"/>
                <w:highlight w:val="yellow"/>
              </w:rPr>
              <w:t>96</w:t>
            </w:r>
            <w:r w:rsidRPr="007E227F">
              <w:rPr>
                <w:b/>
                <w:strike/>
                <w:sz w:val="22"/>
                <w:szCs w:val="22"/>
                <w:highlight w:val="yellow"/>
                <w:vertAlign w:val="superscript"/>
              </w:rPr>
              <w:t>j.</w:t>
            </w:r>
          </w:p>
        </w:tc>
        <w:tc>
          <w:tcPr>
            <w:tcW w:w="1080" w:type="dxa"/>
            <w:tcBorders>
              <w:bottom w:val="single" w:sz="12" w:space="0" w:color="auto"/>
            </w:tcBorders>
            <w:vAlign w:val="center"/>
          </w:tcPr>
          <w:p w:rsidR="007E227F" w:rsidRPr="007E227F" w:rsidRDefault="007E227F" w:rsidP="007E227F">
            <w:pPr>
              <w:suppressAutoHyphens/>
              <w:spacing w:before="40"/>
              <w:jc w:val="center"/>
              <w:rPr>
                <w:strike/>
                <w:sz w:val="22"/>
                <w:szCs w:val="22"/>
                <w:highlight w:val="yellow"/>
              </w:rPr>
            </w:pPr>
            <w:r w:rsidRPr="007E227F">
              <w:rPr>
                <w:strike/>
                <w:sz w:val="22"/>
                <w:szCs w:val="22"/>
                <w:highlight w:val="yellow"/>
              </w:rPr>
              <w:t>N/A</w:t>
            </w:r>
          </w:p>
        </w:tc>
        <w:tc>
          <w:tcPr>
            <w:tcW w:w="1350" w:type="dxa"/>
            <w:gridSpan w:val="2"/>
            <w:tcBorders>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r>
      <w:tr w:rsidR="007E227F" w:rsidRPr="007E227F" w:rsidTr="007E227F">
        <w:trPr>
          <w:cantSplit/>
          <w:trHeight w:val="360"/>
        </w:trPr>
        <w:tc>
          <w:tcPr>
            <w:tcW w:w="1515" w:type="dxa"/>
            <w:vMerge w:val="restart"/>
            <w:tcBorders>
              <w:top w:val="single" w:sz="12" w:space="0" w:color="auto"/>
              <w:bottom w:val="single" w:sz="8" w:space="0" w:color="auto"/>
            </w:tcBorders>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PM/PM</w:t>
            </w:r>
            <w:r w:rsidRPr="007E227F">
              <w:rPr>
                <w:b/>
                <w:strike/>
                <w:sz w:val="22"/>
                <w:szCs w:val="22"/>
                <w:highlight w:val="yellow"/>
                <w:vertAlign w:val="subscript"/>
              </w:rPr>
              <w:t>10</w:t>
            </w:r>
            <w:r w:rsidRPr="007E227F">
              <w:rPr>
                <w:b/>
                <w:strike/>
                <w:sz w:val="22"/>
                <w:szCs w:val="22"/>
                <w:highlight w:val="yellow"/>
                <w:vertAlign w:val="superscript"/>
              </w:rPr>
              <w:t xml:space="preserve"> c</w:t>
            </w:r>
          </w:p>
        </w:tc>
        <w:tc>
          <w:tcPr>
            <w:tcW w:w="915" w:type="dxa"/>
            <w:vMerge w:val="restart"/>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Oil/Gas</w:t>
            </w:r>
          </w:p>
        </w:tc>
        <w:tc>
          <w:tcPr>
            <w:tcW w:w="2790"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w:t>
            </w:r>
          </w:p>
        </w:tc>
        <w:tc>
          <w:tcPr>
            <w:tcW w:w="3870" w:type="dxa"/>
            <w:gridSpan w:val="4"/>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Fuel Specifications</w:t>
            </w:r>
          </w:p>
        </w:tc>
      </w:tr>
      <w:tr w:rsidR="007E227F" w:rsidRPr="007E227F" w:rsidTr="007E227F">
        <w:trPr>
          <w:cantSplit/>
          <w:trHeight w:val="360"/>
        </w:trPr>
        <w:tc>
          <w:tcPr>
            <w:tcW w:w="1515" w:type="dxa"/>
            <w:vMerge/>
            <w:tcBorders>
              <w:top w:val="single" w:sz="8" w:space="0" w:color="auto"/>
              <w:bottom w:val="single" w:sz="12" w:space="0" w:color="auto"/>
            </w:tcBorders>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tcBorders>
              <w:top w:val="single" w:sz="8"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p>
        </w:tc>
        <w:tc>
          <w:tcPr>
            <w:tcW w:w="2790" w:type="dxa"/>
            <w:tcBorders>
              <w:top w:val="single" w:sz="8"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w:t>
            </w:r>
          </w:p>
        </w:tc>
        <w:tc>
          <w:tcPr>
            <w:tcW w:w="3870" w:type="dxa"/>
            <w:gridSpan w:val="4"/>
            <w:tcBorders>
              <w:top w:val="single" w:sz="8"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Visible emissions shall not exceed 10% opacity for each 6-minute block average.</w:t>
            </w:r>
          </w:p>
        </w:tc>
      </w:tr>
      <w:tr w:rsidR="007E227F" w:rsidRPr="007E227F" w:rsidTr="007E227F">
        <w:trPr>
          <w:cantSplit/>
          <w:trHeight w:val="360"/>
        </w:trPr>
        <w:tc>
          <w:tcPr>
            <w:tcW w:w="1515"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SAM/SO</w:t>
            </w:r>
            <w:r w:rsidRPr="007E227F">
              <w:rPr>
                <w:b/>
                <w:strike/>
                <w:sz w:val="22"/>
                <w:szCs w:val="22"/>
                <w:highlight w:val="yellow"/>
                <w:vertAlign w:val="subscript"/>
              </w:rPr>
              <w:t>2</w:t>
            </w:r>
            <w:r w:rsidRPr="007E227F">
              <w:rPr>
                <w:b/>
                <w:strike/>
                <w:sz w:val="22"/>
                <w:szCs w:val="22"/>
                <w:highlight w:val="yellow"/>
                <w:vertAlign w:val="superscript"/>
              </w:rPr>
              <w:t xml:space="preserve"> d</w:t>
            </w:r>
          </w:p>
        </w:tc>
        <w:tc>
          <w:tcPr>
            <w:tcW w:w="915"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Oil/Gas</w:t>
            </w:r>
          </w:p>
        </w:tc>
        <w:tc>
          <w:tcPr>
            <w:tcW w:w="2790"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w:t>
            </w:r>
          </w:p>
        </w:tc>
        <w:tc>
          <w:tcPr>
            <w:tcW w:w="3870" w:type="dxa"/>
            <w:gridSpan w:val="4"/>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Fuel Specifications</w:t>
            </w:r>
          </w:p>
        </w:tc>
      </w:tr>
      <w:tr w:rsidR="007E227F" w:rsidRPr="007E227F" w:rsidTr="007E227F">
        <w:trPr>
          <w:cantSplit/>
          <w:trHeight w:val="360"/>
        </w:trPr>
        <w:tc>
          <w:tcPr>
            <w:tcW w:w="1515"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b/>
                <w:strike/>
                <w:sz w:val="22"/>
                <w:szCs w:val="22"/>
                <w:highlight w:val="yellow"/>
                <w:vertAlign w:val="superscript"/>
              </w:rPr>
            </w:pPr>
            <w:r w:rsidRPr="007E227F">
              <w:rPr>
                <w:b/>
                <w:strike/>
                <w:sz w:val="22"/>
                <w:szCs w:val="22"/>
                <w:highlight w:val="yellow"/>
              </w:rPr>
              <w:t>SO</w:t>
            </w:r>
            <w:r w:rsidRPr="007E227F">
              <w:rPr>
                <w:b/>
                <w:strike/>
                <w:sz w:val="22"/>
                <w:szCs w:val="22"/>
                <w:highlight w:val="yellow"/>
                <w:vertAlign w:val="subscript"/>
              </w:rPr>
              <w:t>2</w:t>
            </w:r>
            <w:r w:rsidRPr="007E227F">
              <w:rPr>
                <w:b/>
                <w:strike/>
                <w:sz w:val="22"/>
                <w:szCs w:val="22"/>
                <w:highlight w:val="yellow"/>
              </w:rPr>
              <w:t xml:space="preserve"> (NSPS)</w:t>
            </w:r>
            <w:r w:rsidRPr="007E227F">
              <w:rPr>
                <w:b/>
                <w:strike/>
                <w:sz w:val="22"/>
                <w:szCs w:val="22"/>
                <w:highlight w:val="yellow"/>
                <w:vertAlign w:val="superscript"/>
              </w:rPr>
              <w:t>g.</w:t>
            </w:r>
          </w:p>
        </w:tc>
        <w:tc>
          <w:tcPr>
            <w:tcW w:w="915"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Oil/Gas</w:t>
            </w:r>
          </w:p>
        </w:tc>
        <w:tc>
          <w:tcPr>
            <w:tcW w:w="2790"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w:t>
            </w:r>
          </w:p>
        </w:tc>
        <w:tc>
          <w:tcPr>
            <w:tcW w:w="3870" w:type="dxa"/>
            <w:gridSpan w:val="4"/>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vertAlign w:val="superscript"/>
              </w:rPr>
            </w:pPr>
            <w:r w:rsidRPr="007E227F">
              <w:rPr>
                <w:strike/>
                <w:sz w:val="22"/>
                <w:szCs w:val="22"/>
                <w:highlight w:val="yellow"/>
              </w:rPr>
              <w:t>0.060 lb SO</w:t>
            </w:r>
            <w:r w:rsidRPr="007E227F">
              <w:rPr>
                <w:strike/>
                <w:sz w:val="22"/>
                <w:szCs w:val="22"/>
                <w:highlight w:val="yellow"/>
                <w:vertAlign w:val="subscript"/>
              </w:rPr>
              <w:t>2</w:t>
            </w:r>
            <w:r w:rsidRPr="007E227F">
              <w:rPr>
                <w:strike/>
                <w:sz w:val="22"/>
                <w:szCs w:val="22"/>
                <w:highlight w:val="yellow"/>
              </w:rPr>
              <w:t>/MMBtu heat input</w:t>
            </w:r>
            <w:r w:rsidRPr="007E227F">
              <w:rPr>
                <w:b/>
                <w:strike/>
                <w:sz w:val="22"/>
                <w:szCs w:val="22"/>
                <w:highlight w:val="yellow"/>
                <w:vertAlign w:val="superscript"/>
              </w:rPr>
              <w:t>k.</w:t>
            </w:r>
          </w:p>
        </w:tc>
      </w:tr>
      <w:tr w:rsidR="007E227F" w:rsidRPr="007E227F" w:rsidTr="007E227F">
        <w:trPr>
          <w:cantSplit/>
          <w:trHeight w:val="360"/>
        </w:trPr>
        <w:tc>
          <w:tcPr>
            <w:tcW w:w="1515" w:type="dxa"/>
            <w:vMerge w:val="restart"/>
            <w:tcBorders>
              <w:top w:val="single" w:sz="12" w:space="0" w:color="auto"/>
              <w:bottom w:val="single" w:sz="8" w:space="0" w:color="auto"/>
            </w:tcBorders>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VOC</w:t>
            </w:r>
            <w:r w:rsidRPr="007E227F">
              <w:rPr>
                <w:b/>
                <w:strike/>
                <w:sz w:val="22"/>
                <w:szCs w:val="22"/>
                <w:highlight w:val="yellow"/>
                <w:vertAlign w:val="superscript"/>
              </w:rPr>
              <w:t xml:space="preserve"> e</w:t>
            </w:r>
          </w:p>
        </w:tc>
        <w:tc>
          <w:tcPr>
            <w:tcW w:w="915"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w:t>
            </w:r>
          </w:p>
        </w:tc>
        <w:tc>
          <w:tcPr>
            <w:tcW w:w="2790"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w:t>
            </w:r>
          </w:p>
        </w:tc>
        <w:tc>
          <w:tcPr>
            <w:tcW w:w="1440"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2.5</w:t>
            </w:r>
          </w:p>
        </w:tc>
        <w:tc>
          <w:tcPr>
            <w:tcW w:w="1170" w:type="dxa"/>
            <w:gridSpan w:val="2"/>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6.0</w:t>
            </w:r>
          </w:p>
        </w:tc>
        <w:tc>
          <w:tcPr>
            <w:tcW w:w="1260" w:type="dxa"/>
            <w:tcBorders>
              <w:top w:val="single" w:sz="12"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r>
      <w:tr w:rsidR="007E227F" w:rsidRPr="007E227F" w:rsidTr="007E227F">
        <w:trPr>
          <w:cantSplit/>
          <w:trHeight w:val="360"/>
        </w:trPr>
        <w:tc>
          <w:tcPr>
            <w:tcW w:w="1515" w:type="dxa"/>
            <w:vMerge/>
            <w:tcBorders>
              <w:top w:val="single" w:sz="8" w:space="0" w:color="auto"/>
              <w:bottom w:val="single" w:sz="8" w:space="0" w:color="auto"/>
            </w:tcBorders>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val="restart"/>
            <w:tcBorders>
              <w:top w:val="single" w:sz="8"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Gas</w:t>
            </w:r>
          </w:p>
        </w:tc>
        <w:tc>
          <w:tcPr>
            <w:tcW w:w="2790" w:type="dxa"/>
            <w:tcBorders>
              <w:top w:val="single" w:sz="8"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Normal Combined Cycle</w:t>
            </w:r>
          </w:p>
        </w:tc>
        <w:tc>
          <w:tcPr>
            <w:tcW w:w="1440" w:type="dxa"/>
            <w:tcBorders>
              <w:top w:val="single" w:sz="8"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1.3</w:t>
            </w:r>
          </w:p>
        </w:tc>
        <w:tc>
          <w:tcPr>
            <w:tcW w:w="1170" w:type="dxa"/>
            <w:gridSpan w:val="2"/>
            <w:tcBorders>
              <w:top w:val="single" w:sz="8"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2.8</w:t>
            </w:r>
          </w:p>
        </w:tc>
        <w:tc>
          <w:tcPr>
            <w:tcW w:w="1260" w:type="dxa"/>
            <w:tcBorders>
              <w:top w:val="single" w:sz="8" w:space="0" w:color="auto"/>
              <w:bottom w:val="single" w:sz="8"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r>
      <w:tr w:rsidR="007E227F" w:rsidRPr="007E227F" w:rsidTr="007E227F">
        <w:trPr>
          <w:cantSplit/>
          <w:trHeight w:val="360"/>
        </w:trPr>
        <w:tc>
          <w:tcPr>
            <w:tcW w:w="1515" w:type="dxa"/>
            <w:vMerge/>
            <w:tcBorders>
              <w:top w:val="single" w:sz="8" w:space="0" w:color="auto"/>
              <w:bottom w:val="single" w:sz="12" w:space="0" w:color="auto"/>
            </w:tcBorders>
            <w:vAlign w:val="center"/>
          </w:tcPr>
          <w:p w:rsidR="007E227F" w:rsidRPr="007E227F" w:rsidRDefault="007E227F" w:rsidP="007E227F">
            <w:pPr>
              <w:suppressAutoHyphens/>
              <w:spacing w:before="40" w:after="40"/>
              <w:jc w:val="center"/>
              <w:rPr>
                <w:b/>
                <w:strike/>
                <w:sz w:val="22"/>
                <w:szCs w:val="22"/>
                <w:highlight w:val="yellow"/>
              </w:rPr>
            </w:pPr>
          </w:p>
        </w:tc>
        <w:tc>
          <w:tcPr>
            <w:tcW w:w="915" w:type="dxa"/>
            <w:vMerge/>
            <w:tcBorders>
              <w:top w:val="single" w:sz="8"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p>
        </w:tc>
        <w:tc>
          <w:tcPr>
            <w:tcW w:w="2790" w:type="dxa"/>
            <w:tcBorders>
              <w:top w:val="single" w:sz="8"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 w/DB and/or PA</w:t>
            </w:r>
          </w:p>
        </w:tc>
        <w:tc>
          <w:tcPr>
            <w:tcW w:w="1440" w:type="dxa"/>
            <w:tcBorders>
              <w:top w:val="single" w:sz="8"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4.0</w:t>
            </w:r>
          </w:p>
        </w:tc>
        <w:tc>
          <w:tcPr>
            <w:tcW w:w="1170" w:type="dxa"/>
            <w:gridSpan w:val="2"/>
            <w:tcBorders>
              <w:top w:val="single" w:sz="8"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10.5</w:t>
            </w:r>
          </w:p>
        </w:tc>
        <w:tc>
          <w:tcPr>
            <w:tcW w:w="1260" w:type="dxa"/>
            <w:tcBorders>
              <w:top w:val="single" w:sz="8"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r>
      <w:tr w:rsidR="007E227F" w:rsidRPr="007E227F" w:rsidTr="007E227F">
        <w:trPr>
          <w:cantSplit/>
          <w:trHeight w:val="475"/>
        </w:trPr>
        <w:tc>
          <w:tcPr>
            <w:tcW w:w="1515"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b/>
                <w:strike/>
                <w:sz w:val="22"/>
                <w:szCs w:val="22"/>
                <w:highlight w:val="yellow"/>
              </w:rPr>
            </w:pPr>
            <w:r w:rsidRPr="007E227F">
              <w:rPr>
                <w:b/>
                <w:strike/>
                <w:sz w:val="22"/>
                <w:szCs w:val="22"/>
                <w:highlight w:val="yellow"/>
              </w:rPr>
              <w:t>Ammonia</w:t>
            </w:r>
            <w:r w:rsidRPr="007E227F">
              <w:rPr>
                <w:b/>
                <w:strike/>
                <w:sz w:val="22"/>
                <w:szCs w:val="22"/>
                <w:highlight w:val="yellow"/>
                <w:vertAlign w:val="superscript"/>
              </w:rPr>
              <w:t xml:space="preserve"> f</w:t>
            </w:r>
          </w:p>
        </w:tc>
        <w:tc>
          <w:tcPr>
            <w:tcW w:w="915"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Oil/Gas</w:t>
            </w:r>
          </w:p>
        </w:tc>
        <w:tc>
          <w:tcPr>
            <w:tcW w:w="2790"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Combined Cycle w/SCR</w:t>
            </w:r>
          </w:p>
        </w:tc>
        <w:tc>
          <w:tcPr>
            <w:tcW w:w="1440"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5</w:t>
            </w:r>
          </w:p>
        </w:tc>
        <w:tc>
          <w:tcPr>
            <w:tcW w:w="1170" w:type="dxa"/>
            <w:gridSpan w:val="2"/>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c>
          <w:tcPr>
            <w:tcW w:w="1260" w:type="dxa"/>
            <w:tcBorders>
              <w:top w:val="single" w:sz="12" w:space="0" w:color="auto"/>
              <w:bottom w:val="single" w:sz="12" w:space="0" w:color="auto"/>
            </w:tcBorders>
            <w:vAlign w:val="center"/>
          </w:tcPr>
          <w:p w:rsidR="007E227F" w:rsidRPr="007E227F" w:rsidRDefault="007E227F" w:rsidP="007E227F">
            <w:pPr>
              <w:suppressAutoHyphens/>
              <w:spacing w:before="40" w:after="40"/>
              <w:jc w:val="center"/>
              <w:rPr>
                <w:strike/>
                <w:sz w:val="22"/>
                <w:szCs w:val="22"/>
                <w:highlight w:val="yellow"/>
              </w:rPr>
            </w:pPr>
            <w:r w:rsidRPr="007E227F">
              <w:rPr>
                <w:strike/>
                <w:sz w:val="22"/>
                <w:szCs w:val="22"/>
                <w:highlight w:val="yellow"/>
              </w:rPr>
              <w:t>NA</w:t>
            </w:r>
          </w:p>
        </w:tc>
      </w:tr>
    </w:tbl>
    <w:p w:rsidR="007E227F" w:rsidRPr="007E227F" w:rsidRDefault="007E227F" w:rsidP="00A237FB">
      <w:pPr>
        <w:numPr>
          <w:ilvl w:val="0"/>
          <w:numId w:val="68"/>
        </w:numPr>
        <w:tabs>
          <w:tab w:val="clear" w:pos="720"/>
        </w:tabs>
        <w:suppressAutoHyphens/>
        <w:spacing w:before="120"/>
        <w:ind w:left="1080"/>
        <w:rPr>
          <w:strike/>
          <w:sz w:val="22"/>
          <w:szCs w:val="22"/>
          <w:highlight w:val="yellow"/>
        </w:rPr>
      </w:pPr>
      <w:bookmarkStart w:id="39" w:name="_Hlk504134514"/>
      <w:bookmarkEnd w:id="37"/>
      <w:bookmarkEnd w:id="38"/>
      <w:r w:rsidRPr="007E227F">
        <w:rPr>
          <w:strike/>
          <w:sz w:val="22"/>
          <w:szCs w:val="22"/>
          <w:highlight w:val="yellow"/>
        </w:rPr>
        <w:t xml:space="preserve">Compliance with the CO standards shall be demonstrated based on data collected by the required CEMS.  Compliance may also be determined by EPA Method 10.  Compliance with the 24-hour CO CEMS standards shall be determined separately for each method of operation based on the hours of operation for each method.  </w:t>
      </w:r>
      <w:r w:rsidRPr="007E227F">
        <w:rPr>
          <w:i/>
          <w:iCs/>
          <w:strike/>
          <w:sz w:val="22"/>
          <w:szCs w:val="22"/>
          <w:highlight w:val="yellow"/>
        </w:rPr>
        <w:t>{Note:  A 24-hour compliance average may be based on as little as 1-hour of CEMS data or as much as 24-hours of CEMS data.}</w:t>
      </w:r>
      <w:bookmarkEnd w:id="39"/>
    </w:p>
    <w:p w:rsidR="007E227F" w:rsidRPr="007E227F" w:rsidRDefault="007E227F" w:rsidP="00A237FB">
      <w:pPr>
        <w:numPr>
          <w:ilvl w:val="0"/>
          <w:numId w:val="68"/>
        </w:numPr>
        <w:suppressAutoHyphens/>
        <w:ind w:left="1080"/>
        <w:rPr>
          <w:strike/>
          <w:sz w:val="22"/>
          <w:szCs w:val="22"/>
          <w:highlight w:val="yellow"/>
        </w:rPr>
      </w:pPr>
      <w:bookmarkStart w:id="40" w:name="_Hlk508875365"/>
      <w:r w:rsidRPr="007E227F">
        <w:rPr>
          <w:strike/>
          <w:sz w:val="22"/>
          <w:szCs w:val="22"/>
          <w:highlight w:val="yellow"/>
        </w:rPr>
        <w:t>Compliance with the NO</w:t>
      </w:r>
      <w:r w:rsidRPr="007E227F">
        <w:rPr>
          <w:strike/>
          <w:sz w:val="22"/>
          <w:szCs w:val="22"/>
          <w:highlight w:val="yellow"/>
          <w:vertAlign w:val="subscript"/>
        </w:rPr>
        <w:t>X</w:t>
      </w:r>
      <w:r w:rsidRPr="007E227F">
        <w:rPr>
          <w:strike/>
          <w:sz w:val="22"/>
          <w:szCs w:val="22"/>
          <w:highlight w:val="yellow"/>
        </w:rPr>
        <w:t xml:space="preserve"> standards shall be demonstrated based on data collected by the required CEMS.  Compliance may also be determined by EPA Method 7E or 20.  NO</w:t>
      </w:r>
      <w:r w:rsidRPr="007E227F">
        <w:rPr>
          <w:strike/>
          <w:sz w:val="22"/>
          <w:szCs w:val="22"/>
          <w:highlight w:val="yellow"/>
          <w:vertAlign w:val="subscript"/>
        </w:rPr>
        <w:t xml:space="preserve">X </w:t>
      </w:r>
      <w:r w:rsidRPr="007E227F">
        <w:rPr>
          <w:strike/>
          <w:sz w:val="22"/>
          <w:szCs w:val="22"/>
          <w:highlight w:val="yellow"/>
        </w:rPr>
        <w:t>mass emission rates are defined as oxides of nitrogen expressed as NO</w:t>
      </w:r>
      <w:r w:rsidRPr="007E227F">
        <w:rPr>
          <w:strike/>
          <w:sz w:val="22"/>
          <w:szCs w:val="22"/>
          <w:highlight w:val="yellow"/>
          <w:vertAlign w:val="subscript"/>
        </w:rPr>
        <w:t>2</w:t>
      </w:r>
      <w:r w:rsidRPr="007E227F">
        <w:rPr>
          <w:strike/>
          <w:sz w:val="22"/>
          <w:szCs w:val="22"/>
          <w:highlight w:val="yellow"/>
        </w:rPr>
        <w:t xml:space="preserve">.  </w:t>
      </w:r>
      <w:r w:rsidRPr="007E227F">
        <w:rPr>
          <w:i/>
          <w:strike/>
          <w:sz w:val="22"/>
          <w:szCs w:val="22"/>
          <w:highlight w:val="yellow"/>
        </w:rPr>
        <w:t>{Note:  A 24-hour compliance average may be based on as little as 1-hour of CEMS data or as much as 24-hours of CEMS data.}</w:t>
      </w:r>
    </w:p>
    <w:bookmarkEnd w:id="40"/>
    <w:p w:rsidR="007E227F" w:rsidRPr="007E227F" w:rsidRDefault="007E227F" w:rsidP="00A237FB">
      <w:pPr>
        <w:numPr>
          <w:ilvl w:val="0"/>
          <w:numId w:val="68"/>
        </w:numPr>
        <w:suppressAutoHyphens/>
        <w:ind w:left="1080"/>
        <w:rPr>
          <w:strike/>
          <w:sz w:val="22"/>
          <w:szCs w:val="22"/>
          <w:highlight w:val="yellow"/>
        </w:rPr>
      </w:pPr>
      <w:r w:rsidRPr="007E227F">
        <w:rPr>
          <w:strike/>
          <w:sz w:val="22"/>
          <w:szCs w:val="22"/>
          <w:highlight w:val="yellow"/>
        </w:rPr>
        <w:t xml:space="preserve">The fuel specifications established in Specific Condition </w:t>
      </w:r>
      <w:r w:rsidRPr="007E227F">
        <w:rPr>
          <w:b/>
          <w:strike/>
          <w:sz w:val="22"/>
          <w:szCs w:val="22"/>
          <w:highlight w:val="yellow"/>
        </w:rPr>
        <w:t xml:space="preserve">D.3 </w:t>
      </w:r>
      <w:r w:rsidRPr="007E227F">
        <w:rPr>
          <w:strike/>
          <w:sz w:val="22"/>
          <w:szCs w:val="22"/>
          <w:highlight w:val="yellow"/>
        </w:rPr>
        <w:t>of this section, combined with the efficient combustion design and operation of each gas turbine represents the Best Available Control Technology (BACT) determination for PM/PM</w:t>
      </w:r>
      <w:r w:rsidRPr="007E227F">
        <w:rPr>
          <w:strike/>
          <w:sz w:val="22"/>
          <w:szCs w:val="22"/>
          <w:highlight w:val="yellow"/>
          <w:vertAlign w:val="subscript"/>
        </w:rPr>
        <w:t>10</w:t>
      </w:r>
      <w:r w:rsidRPr="007E227F">
        <w:rPr>
          <w:strike/>
          <w:sz w:val="22"/>
          <w:szCs w:val="22"/>
          <w:highlight w:val="yellow"/>
        </w:rPr>
        <w:t xml:space="preserve"> emissions.  Compliance with the fuel specifications, CO standards, and visible emissions standards shall serve as indicators of good combustion.  Compliance with the fuel specifications shall be demonstrated by keeping records of the fuel sulfur content.  Compliance with the visible emissions standard shall be demonstrated by conducting tests in accordance with EPA Method 9.  </w:t>
      </w:r>
      <w:r w:rsidRPr="007E227F">
        <w:rPr>
          <w:i/>
          <w:iCs/>
          <w:strike/>
          <w:sz w:val="22"/>
          <w:szCs w:val="22"/>
          <w:highlight w:val="yellow"/>
        </w:rPr>
        <w:t>{Note:  PM</w:t>
      </w:r>
      <w:r w:rsidRPr="007E227F">
        <w:rPr>
          <w:i/>
          <w:iCs/>
          <w:strike/>
          <w:sz w:val="22"/>
          <w:szCs w:val="22"/>
          <w:highlight w:val="yellow"/>
          <w:vertAlign w:val="subscript"/>
        </w:rPr>
        <w:t>10</w:t>
      </w:r>
      <w:r w:rsidRPr="007E227F">
        <w:rPr>
          <w:i/>
          <w:iCs/>
          <w:strike/>
          <w:sz w:val="22"/>
          <w:szCs w:val="22"/>
          <w:highlight w:val="yellow"/>
        </w:rPr>
        <w:t xml:space="preserve"> emissions for gas firing are estimated at 11 lb/hour for combined cycle operation and 17 lb/hour for combined cycle operation with duct burning.  PM10 emissions for oil firing are estimated at 37 lb/hour for combined cycle operation.}</w:t>
      </w:r>
    </w:p>
    <w:p w:rsidR="007E227F" w:rsidRPr="007E227F" w:rsidRDefault="007E227F" w:rsidP="00A237FB">
      <w:pPr>
        <w:numPr>
          <w:ilvl w:val="0"/>
          <w:numId w:val="68"/>
        </w:numPr>
        <w:suppressAutoHyphens/>
        <w:ind w:left="1080"/>
        <w:rPr>
          <w:strike/>
          <w:sz w:val="22"/>
          <w:szCs w:val="22"/>
          <w:highlight w:val="yellow"/>
        </w:rPr>
      </w:pPr>
      <w:r w:rsidRPr="007E227F">
        <w:rPr>
          <w:strike/>
          <w:sz w:val="22"/>
          <w:szCs w:val="22"/>
          <w:highlight w:val="yellow"/>
        </w:rPr>
        <w:t xml:space="preserve">The fuel sulfur specifications in Specific Condition </w:t>
      </w:r>
      <w:r w:rsidRPr="007E227F">
        <w:rPr>
          <w:b/>
          <w:strike/>
          <w:sz w:val="22"/>
          <w:szCs w:val="22"/>
          <w:highlight w:val="yellow"/>
        </w:rPr>
        <w:t>D.3</w:t>
      </w:r>
      <w:r w:rsidRPr="007E227F">
        <w:rPr>
          <w:strike/>
          <w:sz w:val="22"/>
          <w:szCs w:val="22"/>
          <w:highlight w:val="yellow"/>
        </w:rPr>
        <w:t xml:space="preserve"> of this section effectively limit the potential emissions of SAM and SO</w:t>
      </w:r>
      <w:r w:rsidRPr="007E227F">
        <w:rPr>
          <w:strike/>
          <w:sz w:val="22"/>
          <w:szCs w:val="22"/>
          <w:highlight w:val="yellow"/>
          <w:vertAlign w:val="subscript"/>
        </w:rPr>
        <w:t>2</w:t>
      </w:r>
      <w:r w:rsidRPr="007E227F">
        <w:rPr>
          <w:strike/>
          <w:sz w:val="22"/>
          <w:szCs w:val="22"/>
          <w:highlight w:val="yellow"/>
        </w:rPr>
        <w:t xml:space="preserve"> from the gas turbines and represent the Best Available Control Technology (BACT) determination for these pollutants.  Compliance with the fuel sulfur specifications shall be determined by the requirements in Specific Condition </w:t>
      </w:r>
      <w:r w:rsidRPr="007E227F">
        <w:rPr>
          <w:b/>
          <w:strike/>
          <w:sz w:val="22"/>
          <w:szCs w:val="22"/>
          <w:highlight w:val="yellow"/>
        </w:rPr>
        <w:t>D.31</w:t>
      </w:r>
      <w:r w:rsidRPr="007E227F">
        <w:rPr>
          <w:strike/>
          <w:sz w:val="22"/>
          <w:szCs w:val="22"/>
          <w:highlight w:val="yellow"/>
        </w:rPr>
        <w:t>.</w:t>
      </w:r>
      <w:r w:rsidRPr="007E227F">
        <w:rPr>
          <w:b/>
          <w:strike/>
          <w:sz w:val="22"/>
          <w:szCs w:val="22"/>
          <w:highlight w:val="yellow"/>
        </w:rPr>
        <w:t xml:space="preserve">  </w:t>
      </w:r>
      <w:r w:rsidRPr="007E227F">
        <w:rPr>
          <w:i/>
          <w:strike/>
          <w:sz w:val="22"/>
          <w:szCs w:val="22"/>
          <w:highlight w:val="yellow"/>
        </w:rPr>
        <w:t>{Note:  SO</w:t>
      </w:r>
      <w:r w:rsidRPr="007E227F">
        <w:rPr>
          <w:i/>
          <w:strike/>
          <w:sz w:val="22"/>
          <w:szCs w:val="22"/>
          <w:highlight w:val="yellow"/>
          <w:vertAlign w:val="subscript"/>
        </w:rPr>
        <w:t>2</w:t>
      </w:r>
      <w:r w:rsidRPr="007E227F">
        <w:rPr>
          <w:i/>
          <w:strike/>
          <w:sz w:val="22"/>
          <w:szCs w:val="22"/>
          <w:highlight w:val="yellow"/>
        </w:rPr>
        <w:t xml:space="preserve"> emissions for gas firing are estimated at 9.8 lb/hour for combined cycle operation and 12.8 lb/hour for combined cycle operation with duct burning.  SO</w:t>
      </w:r>
      <w:r w:rsidRPr="007E227F">
        <w:rPr>
          <w:i/>
          <w:strike/>
          <w:sz w:val="22"/>
          <w:szCs w:val="22"/>
          <w:highlight w:val="yellow"/>
          <w:vertAlign w:val="subscript"/>
        </w:rPr>
        <w:t>2</w:t>
      </w:r>
      <w:r w:rsidRPr="007E227F">
        <w:rPr>
          <w:i/>
          <w:strike/>
          <w:sz w:val="22"/>
          <w:szCs w:val="22"/>
          <w:highlight w:val="yellow"/>
        </w:rPr>
        <w:t xml:space="preserve"> emissions for oil firing are estimated at 99 lb/hour for combined cycle operation.  SAM emissions are estimated to be less than 10% of the SO</w:t>
      </w:r>
      <w:r w:rsidRPr="007E227F">
        <w:rPr>
          <w:i/>
          <w:strike/>
          <w:sz w:val="22"/>
          <w:szCs w:val="22"/>
          <w:highlight w:val="yellow"/>
          <w:vertAlign w:val="subscript"/>
        </w:rPr>
        <w:t>2</w:t>
      </w:r>
      <w:r w:rsidRPr="007E227F">
        <w:rPr>
          <w:i/>
          <w:strike/>
          <w:sz w:val="22"/>
          <w:szCs w:val="22"/>
          <w:highlight w:val="yellow"/>
        </w:rPr>
        <w:t xml:space="preserve"> emissions</w:t>
      </w:r>
      <w:r w:rsidRPr="007E227F">
        <w:rPr>
          <w:strike/>
          <w:sz w:val="22"/>
          <w:szCs w:val="22"/>
          <w:highlight w:val="yellow"/>
        </w:rPr>
        <w:t>.}</w:t>
      </w:r>
    </w:p>
    <w:p w:rsidR="007E227F" w:rsidRPr="007E227F" w:rsidRDefault="007E227F" w:rsidP="00A237FB">
      <w:pPr>
        <w:numPr>
          <w:ilvl w:val="0"/>
          <w:numId w:val="68"/>
        </w:numPr>
        <w:suppressAutoHyphens/>
        <w:ind w:left="1080"/>
        <w:rPr>
          <w:strike/>
          <w:sz w:val="22"/>
          <w:szCs w:val="22"/>
          <w:highlight w:val="yellow"/>
        </w:rPr>
      </w:pPr>
      <w:r w:rsidRPr="007E227F">
        <w:rPr>
          <w:strike/>
          <w:sz w:val="22"/>
          <w:szCs w:val="22"/>
          <w:highlight w:val="yellow"/>
        </w:rPr>
        <w:t>Compliance with the VOC standards shall be demonstrated by conducting tests in accordance with EPA Method 25A.  Optionally, EPA Method 18 may also be performed to deduct emissions of methane and ethane.  The emission standards are based on VOC measured as methane.</w:t>
      </w:r>
    </w:p>
    <w:p w:rsidR="007E227F" w:rsidRPr="007E227F" w:rsidRDefault="007E227F" w:rsidP="00A237FB">
      <w:pPr>
        <w:numPr>
          <w:ilvl w:val="0"/>
          <w:numId w:val="68"/>
        </w:numPr>
        <w:suppressAutoHyphens/>
        <w:ind w:left="1080"/>
        <w:rPr>
          <w:strike/>
          <w:sz w:val="22"/>
          <w:szCs w:val="22"/>
          <w:highlight w:val="yellow"/>
        </w:rPr>
      </w:pPr>
      <w:bookmarkStart w:id="41" w:name="_Hlk504134660"/>
      <w:r w:rsidRPr="007E227F">
        <w:rPr>
          <w:strike/>
          <w:sz w:val="22"/>
          <w:szCs w:val="22"/>
          <w:highlight w:val="yellow"/>
        </w:rPr>
        <w:t xml:space="preserve">Subject to the requirements of Specific Condition </w:t>
      </w:r>
      <w:r w:rsidRPr="007E227F">
        <w:rPr>
          <w:b/>
          <w:strike/>
          <w:sz w:val="22"/>
          <w:szCs w:val="22"/>
          <w:highlight w:val="yellow"/>
        </w:rPr>
        <w:t>D.27</w:t>
      </w:r>
      <w:r w:rsidRPr="007E227F">
        <w:rPr>
          <w:strike/>
          <w:sz w:val="22"/>
          <w:szCs w:val="22"/>
          <w:highlight w:val="yellow"/>
        </w:rPr>
        <w:t>. of this section, each SCR system shall be designed and operated for an ammonia slip target of less than 5 ppmvd corrected to 15% oxygen based on the average of three test runs.  Compliance with the ammonia slip standard shall be demonstrated by conducting tests in accordance with EPA Method CTC-027.</w:t>
      </w:r>
      <w:bookmarkEnd w:id="41"/>
    </w:p>
    <w:p w:rsidR="007E227F" w:rsidRPr="007E227F" w:rsidRDefault="007E227F" w:rsidP="00A237FB">
      <w:pPr>
        <w:numPr>
          <w:ilvl w:val="0"/>
          <w:numId w:val="68"/>
        </w:numPr>
        <w:suppressAutoHyphens/>
        <w:ind w:left="1080"/>
        <w:rPr>
          <w:strike/>
          <w:sz w:val="22"/>
          <w:szCs w:val="22"/>
          <w:highlight w:val="yellow"/>
        </w:rPr>
      </w:pPr>
      <w:bookmarkStart w:id="42" w:name="_Hlk504134694"/>
      <w:r w:rsidRPr="007E227F">
        <w:rPr>
          <w:strike/>
          <w:sz w:val="22"/>
          <w:szCs w:val="22"/>
          <w:highlight w:val="yellow"/>
        </w:rPr>
        <w:t>NSPS emissions standards apply to emissions from each unit and its associated duct burner/HRSG.</w:t>
      </w:r>
      <w:bookmarkEnd w:id="42"/>
    </w:p>
    <w:p w:rsidR="007E227F" w:rsidRPr="007E227F" w:rsidRDefault="007E227F" w:rsidP="00A237FB">
      <w:pPr>
        <w:numPr>
          <w:ilvl w:val="0"/>
          <w:numId w:val="68"/>
        </w:numPr>
        <w:suppressAutoHyphens/>
        <w:ind w:left="1080"/>
        <w:rPr>
          <w:strike/>
          <w:sz w:val="22"/>
          <w:szCs w:val="22"/>
          <w:highlight w:val="yellow"/>
        </w:rPr>
      </w:pPr>
      <w:bookmarkStart w:id="43" w:name="_Hlk504134744"/>
      <w:bookmarkStart w:id="44" w:name="_Hlk504134717"/>
      <w:r w:rsidRPr="007E227F">
        <w:rPr>
          <w:strike/>
          <w:sz w:val="22"/>
          <w:szCs w:val="22"/>
          <w:highlight w:val="yellow"/>
        </w:rPr>
        <w:t>Acceptable alternative emissions standard of 54 nanograms per Joule (ng/J) of useful output (0.43 lb/MWh).</w:t>
      </w:r>
      <w:bookmarkEnd w:id="43"/>
    </w:p>
    <w:p w:rsidR="007E227F" w:rsidRPr="007E227F" w:rsidRDefault="007E227F" w:rsidP="00A237FB">
      <w:pPr>
        <w:numPr>
          <w:ilvl w:val="0"/>
          <w:numId w:val="68"/>
        </w:numPr>
        <w:suppressAutoHyphens/>
        <w:ind w:left="1080"/>
        <w:rPr>
          <w:strike/>
          <w:sz w:val="22"/>
          <w:szCs w:val="22"/>
          <w:highlight w:val="yellow"/>
        </w:rPr>
      </w:pPr>
      <w:bookmarkStart w:id="45" w:name="_Hlk504134763"/>
      <w:bookmarkEnd w:id="44"/>
      <w:r w:rsidRPr="007E227F">
        <w:rPr>
          <w:strike/>
          <w:sz w:val="22"/>
          <w:szCs w:val="22"/>
          <w:highlight w:val="yellow"/>
        </w:rPr>
        <w:t>Acceptable alternative emissions standard of 160 ng/J of useful output (1.3 lb/MWh).</w:t>
      </w:r>
      <w:bookmarkEnd w:id="45"/>
    </w:p>
    <w:p w:rsidR="007E227F" w:rsidRPr="007E227F" w:rsidRDefault="007E227F" w:rsidP="00A237FB">
      <w:pPr>
        <w:numPr>
          <w:ilvl w:val="0"/>
          <w:numId w:val="68"/>
        </w:numPr>
        <w:suppressAutoHyphens/>
        <w:ind w:left="1080"/>
        <w:rPr>
          <w:strike/>
          <w:sz w:val="22"/>
          <w:szCs w:val="22"/>
          <w:highlight w:val="yellow"/>
        </w:rPr>
      </w:pPr>
      <w:bookmarkStart w:id="46" w:name="_Hlk504134780"/>
      <w:r w:rsidRPr="007E227F">
        <w:rPr>
          <w:strike/>
          <w:sz w:val="22"/>
          <w:szCs w:val="22"/>
          <w:highlight w:val="yellow"/>
        </w:rPr>
        <w:t>Acceptable alternative emissions standard of 590 ng/J of useful output (4.7 lb/MWh).</w:t>
      </w:r>
      <w:bookmarkEnd w:id="46"/>
    </w:p>
    <w:p w:rsidR="007E227F" w:rsidRPr="007E227F" w:rsidRDefault="007E227F" w:rsidP="00A237FB">
      <w:pPr>
        <w:numPr>
          <w:ilvl w:val="0"/>
          <w:numId w:val="68"/>
        </w:numPr>
        <w:suppressAutoHyphens/>
        <w:ind w:left="1080"/>
        <w:rPr>
          <w:strike/>
          <w:sz w:val="22"/>
          <w:szCs w:val="22"/>
          <w:highlight w:val="yellow"/>
        </w:rPr>
      </w:pPr>
      <w:bookmarkStart w:id="47" w:name="_Hlk504134798"/>
      <w:r w:rsidRPr="007E227F">
        <w:rPr>
          <w:strike/>
          <w:sz w:val="22"/>
          <w:szCs w:val="22"/>
          <w:highlight w:val="yellow"/>
        </w:rPr>
        <w:t>Acceptable alternative emissions standard of 110 ng/J (0.90 lb/MWh) of gross output.</w:t>
      </w:r>
      <w:bookmarkEnd w:id="47"/>
    </w:p>
    <w:p w:rsidR="007E227F" w:rsidRPr="007E227F" w:rsidRDefault="007E227F" w:rsidP="007E227F">
      <w:pPr>
        <w:ind w:left="720"/>
        <w:rPr>
          <w:i/>
          <w:iCs/>
          <w:strike/>
          <w:sz w:val="22"/>
          <w:szCs w:val="22"/>
          <w:highlight w:val="yellow"/>
        </w:rPr>
      </w:pPr>
      <w:bookmarkStart w:id="48" w:name="_Hlk504134963"/>
      <w:r w:rsidRPr="007E227F">
        <w:rPr>
          <w:i/>
          <w:iCs/>
          <w:strike/>
          <w:sz w:val="22"/>
          <w:szCs w:val="22"/>
          <w:highlight w:val="yellow"/>
        </w:rPr>
        <w:t>{Permitting Notes:  “DB” means duct burning.  “PA” means power augmentation.  “SCR” means selective catalytic reduction.  “NA” means not applicable.  The mass emission rate standards are based on a turbine inlet condition of 59 °F and may be adjusted to actual test conditions in accordance with the performance curves and/or equations on file with the Department.</w:t>
      </w:r>
      <w:r w:rsidRPr="007E227F">
        <w:rPr>
          <w:i/>
          <w:strike/>
          <w:sz w:val="22"/>
          <w:szCs w:val="22"/>
          <w:highlight w:val="yellow"/>
        </w:rPr>
        <w:t xml:space="preserve">  These emissions units have not to date been operated in the high power modes (HPM) of peaking or power augmentation; therefore, a compliance plan is included to cover initial testing requirements for these HPM for emissions of CO and NO</w:t>
      </w:r>
      <w:r w:rsidRPr="007E227F">
        <w:rPr>
          <w:i/>
          <w:strike/>
          <w:sz w:val="22"/>
          <w:szCs w:val="22"/>
          <w:highlight w:val="yellow"/>
          <w:vertAlign w:val="subscript"/>
        </w:rPr>
        <w:t>X</w:t>
      </w:r>
      <w:r w:rsidRPr="007E227F">
        <w:rPr>
          <w:i/>
          <w:strike/>
          <w:sz w:val="22"/>
          <w:szCs w:val="22"/>
          <w:highlight w:val="yellow"/>
        </w:rPr>
        <w:t>.  See Appendix CP</w:t>
      </w:r>
      <w:r w:rsidRPr="007E227F">
        <w:rPr>
          <w:i/>
          <w:iCs/>
          <w:strike/>
          <w:sz w:val="22"/>
          <w:szCs w:val="22"/>
          <w:highlight w:val="yellow"/>
        </w:rPr>
        <w:t>}</w:t>
      </w:r>
    </w:p>
    <w:p w:rsidR="007E227F" w:rsidRPr="007E227F" w:rsidRDefault="007E227F" w:rsidP="007E227F">
      <w:pPr>
        <w:widowControl w:val="0"/>
        <w:tabs>
          <w:tab w:val="left" w:pos="720"/>
        </w:tabs>
        <w:suppressAutoHyphens/>
        <w:spacing w:after="120"/>
        <w:ind w:left="720"/>
        <w:rPr>
          <w:strike/>
          <w:sz w:val="22"/>
          <w:szCs w:val="22"/>
        </w:rPr>
      </w:pPr>
      <w:r w:rsidRPr="007E227F">
        <w:rPr>
          <w:strike/>
          <w:sz w:val="22"/>
          <w:szCs w:val="22"/>
          <w:highlight w:val="yellow"/>
        </w:rPr>
        <w:t>[Rules 62-204.800(8)(b)83., F.A.C. &amp; 62-212.400(BACT), F.A.C.; 40 CFR 60.4325 &amp; 60.4330; and Permit No. 0850001-010-AC (PSD-FL-327)]</w:t>
      </w:r>
      <w:bookmarkEnd w:id="48"/>
    </w:p>
    <w:p w:rsidR="007E227F" w:rsidRDefault="007E227F" w:rsidP="00A237FB">
      <w:pPr>
        <w:numPr>
          <w:ilvl w:val="0"/>
          <w:numId w:val="69"/>
        </w:numPr>
        <w:tabs>
          <w:tab w:val="left" w:pos="1080"/>
        </w:tabs>
        <w:spacing w:before="120" w:after="120"/>
        <w:ind w:left="720"/>
        <w:rPr>
          <w:sz w:val="22"/>
          <w:szCs w:val="22"/>
          <w:highlight w:val="yellow"/>
          <w:u w:val="double"/>
        </w:rPr>
      </w:pPr>
      <w:r w:rsidRPr="007E227F">
        <w:rPr>
          <w:sz w:val="22"/>
          <w:szCs w:val="22"/>
          <w:highlight w:val="yellow"/>
          <w:u w:val="double"/>
        </w:rPr>
        <w:t xml:space="preserve">Adjustment of Emissions Standards.  The mass emission rate standards in Specific Conditions </w:t>
      </w:r>
      <w:r>
        <w:rPr>
          <w:b/>
          <w:sz w:val="22"/>
          <w:szCs w:val="22"/>
          <w:highlight w:val="yellow"/>
          <w:u w:val="double"/>
        </w:rPr>
        <w:t>D.9</w:t>
      </w:r>
      <w:r w:rsidRPr="007E227F">
        <w:rPr>
          <w:sz w:val="22"/>
          <w:szCs w:val="22"/>
          <w:highlight w:val="yellow"/>
          <w:u w:val="double"/>
        </w:rPr>
        <w:t xml:space="preserve">, </w:t>
      </w:r>
      <w:r>
        <w:rPr>
          <w:b/>
          <w:sz w:val="22"/>
          <w:szCs w:val="22"/>
          <w:highlight w:val="yellow"/>
          <w:u w:val="double"/>
        </w:rPr>
        <w:t>D.10</w:t>
      </w:r>
      <w:r w:rsidRPr="007E227F">
        <w:rPr>
          <w:sz w:val="22"/>
          <w:szCs w:val="22"/>
          <w:highlight w:val="yellow"/>
          <w:u w:val="double"/>
        </w:rPr>
        <w:t xml:space="preserve"> and </w:t>
      </w:r>
      <w:r>
        <w:rPr>
          <w:b/>
          <w:sz w:val="22"/>
          <w:szCs w:val="22"/>
          <w:highlight w:val="yellow"/>
          <w:u w:val="double"/>
        </w:rPr>
        <w:t>D.16</w:t>
      </w:r>
      <w:r w:rsidRPr="007E227F">
        <w:rPr>
          <w:sz w:val="22"/>
          <w:szCs w:val="22"/>
          <w:highlight w:val="yellow"/>
          <w:u w:val="double"/>
        </w:rPr>
        <w:t xml:space="preserve"> are based on a turbine inlet condition of 59⁰F and may be adjusted to actual test conditions in accordance with the performance curves and/or equations on file with the Department.  [Rule 62-212.400(BACT), F.A.C.; and, Permit No. 0850001-010-AC/PSD-FL-327]</w:t>
      </w:r>
    </w:p>
    <w:p w:rsidR="008524F6" w:rsidRPr="008524F6" w:rsidRDefault="008524F6" w:rsidP="00A237FB">
      <w:pPr>
        <w:numPr>
          <w:ilvl w:val="0"/>
          <w:numId w:val="69"/>
        </w:numPr>
        <w:tabs>
          <w:tab w:val="left" w:pos="1080"/>
        </w:tabs>
        <w:spacing w:before="120"/>
        <w:ind w:left="720"/>
        <w:rPr>
          <w:sz w:val="22"/>
          <w:szCs w:val="22"/>
          <w:highlight w:val="yellow"/>
          <w:u w:val="double"/>
        </w:rPr>
      </w:pPr>
      <w:bookmarkStart w:id="49" w:name="_Ref512947731"/>
      <w:r w:rsidRPr="008524F6">
        <w:rPr>
          <w:sz w:val="22"/>
          <w:szCs w:val="22"/>
          <w:highlight w:val="yellow"/>
          <w:u w:val="double"/>
        </w:rPr>
        <w:t>CO Emissions.  Emissions from each gas turbine are subject to the following CO emissions standards:</w:t>
      </w:r>
      <w:bookmarkEnd w:id="49"/>
    </w:p>
    <w:p w:rsidR="008524F6" w:rsidRPr="008524F6" w:rsidRDefault="008524F6" w:rsidP="00A237FB">
      <w:pPr>
        <w:numPr>
          <w:ilvl w:val="0"/>
          <w:numId w:val="70"/>
        </w:numPr>
        <w:spacing w:before="120" w:after="120"/>
        <w:contextualSpacing/>
        <w:rPr>
          <w:sz w:val="22"/>
          <w:szCs w:val="22"/>
          <w:highlight w:val="yellow"/>
          <w:u w:val="double"/>
        </w:rPr>
      </w:pPr>
      <w:r w:rsidRPr="008524F6">
        <w:rPr>
          <w:i/>
          <w:sz w:val="22"/>
          <w:szCs w:val="22"/>
          <w:highlight w:val="yellow"/>
          <w:u w:val="double"/>
        </w:rPr>
        <w:t>Natural Gas.</w:t>
      </w:r>
      <w:r w:rsidRPr="008524F6">
        <w:rPr>
          <w:sz w:val="22"/>
          <w:szCs w:val="22"/>
          <w:highlight w:val="yellow"/>
          <w:u w:val="double"/>
        </w:rPr>
        <w:t xml:space="preserve">  </w:t>
      </w:r>
    </w:p>
    <w:p w:rsidR="008524F6" w:rsidRPr="008524F6" w:rsidRDefault="008524F6" w:rsidP="00A237FB">
      <w:pPr>
        <w:numPr>
          <w:ilvl w:val="0"/>
          <w:numId w:val="73"/>
        </w:numPr>
        <w:spacing w:before="120" w:after="120"/>
        <w:contextualSpacing/>
        <w:rPr>
          <w:sz w:val="22"/>
          <w:szCs w:val="22"/>
          <w:highlight w:val="yellow"/>
          <w:u w:val="double"/>
        </w:rPr>
      </w:pPr>
      <w:r w:rsidRPr="008524F6">
        <w:rPr>
          <w:sz w:val="22"/>
          <w:szCs w:val="22"/>
          <w:highlight w:val="yellow"/>
          <w:u w:val="double"/>
        </w:rPr>
        <w:t>As determined by stack test (3-run average), CO emissions shall not exceed the following during normal operation:</w:t>
      </w:r>
    </w:p>
    <w:p w:rsidR="008524F6" w:rsidRPr="008524F6" w:rsidRDefault="008524F6" w:rsidP="00A237FB">
      <w:pPr>
        <w:numPr>
          <w:ilvl w:val="0"/>
          <w:numId w:val="71"/>
        </w:numPr>
        <w:spacing w:before="120" w:after="120"/>
        <w:contextualSpacing/>
        <w:rPr>
          <w:sz w:val="22"/>
          <w:szCs w:val="22"/>
          <w:highlight w:val="yellow"/>
          <w:u w:val="double"/>
        </w:rPr>
      </w:pPr>
      <w:r w:rsidRPr="008524F6">
        <w:rPr>
          <w:sz w:val="22"/>
          <w:szCs w:val="22"/>
          <w:highlight w:val="yellow"/>
          <w:u w:val="double"/>
        </w:rPr>
        <w:t>7.4 ppmvd at 15% O</w:t>
      </w:r>
      <w:r w:rsidRPr="008524F6">
        <w:rPr>
          <w:sz w:val="22"/>
          <w:szCs w:val="22"/>
          <w:highlight w:val="yellow"/>
          <w:u w:val="double"/>
          <w:vertAlign w:val="subscript"/>
        </w:rPr>
        <w:t>2</w:t>
      </w:r>
      <w:r w:rsidRPr="008524F6">
        <w:rPr>
          <w:sz w:val="22"/>
          <w:szCs w:val="22"/>
          <w:highlight w:val="yellow"/>
          <w:u w:val="double"/>
        </w:rPr>
        <w:t>; and</w:t>
      </w:r>
    </w:p>
    <w:p w:rsidR="008524F6" w:rsidRPr="008524F6" w:rsidRDefault="008524F6" w:rsidP="00A237FB">
      <w:pPr>
        <w:numPr>
          <w:ilvl w:val="0"/>
          <w:numId w:val="71"/>
        </w:numPr>
        <w:spacing w:before="120" w:after="120"/>
        <w:contextualSpacing/>
        <w:rPr>
          <w:sz w:val="22"/>
          <w:szCs w:val="22"/>
          <w:highlight w:val="yellow"/>
          <w:u w:val="double"/>
        </w:rPr>
      </w:pPr>
      <w:r w:rsidRPr="008524F6">
        <w:rPr>
          <w:sz w:val="22"/>
          <w:szCs w:val="22"/>
          <w:highlight w:val="yellow"/>
          <w:u w:val="double"/>
        </w:rPr>
        <w:t>27.5 lb/hr.</w:t>
      </w:r>
    </w:p>
    <w:p w:rsidR="008524F6" w:rsidRPr="008524F6" w:rsidRDefault="008524F6" w:rsidP="00A237FB">
      <w:pPr>
        <w:numPr>
          <w:ilvl w:val="0"/>
          <w:numId w:val="73"/>
        </w:numPr>
        <w:spacing w:before="120" w:after="120"/>
        <w:contextualSpacing/>
        <w:rPr>
          <w:sz w:val="22"/>
          <w:szCs w:val="22"/>
          <w:highlight w:val="yellow"/>
          <w:u w:val="double"/>
        </w:rPr>
      </w:pPr>
      <w:r w:rsidRPr="008524F6">
        <w:rPr>
          <w:sz w:val="22"/>
          <w:szCs w:val="22"/>
          <w:highlight w:val="yellow"/>
          <w:u w:val="double"/>
        </w:rPr>
        <w:t>As determined by CEMS (optional), CO emissions shall not exceed 10.0 ppmvd at 15% O</w:t>
      </w:r>
      <w:r w:rsidRPr="008524F6">
        <w:rPr>
          <w:sz w:val="22"/>
          <w:szCs w:val="22"/>
          <w:highlight w:val="yellow"/>
          <w:u w:val="double"/>
          <w:vertAlign w:val="subscript"/>
        </w:rPr>
        <w:t>2</w:t>
      </w:r>
      <w:r w:rsidRPr="008524F6">
        <w:rPr>
          <w:sz w:val="22"/>
          <w:szCs w:val="22"/>
          <w:highlight w:val="yellow"/>
          <w:u w:val="double"/>
        </w:rPr>
        <w:t>, based on a 24-hour block average.</w:t>
      </w:r>
    </w:p>
    <w:p w:rsidR="008524F6" w:rsidRPr="008524F6" w:rsidRDefault="008524F6" w:rsidP="00A237FB">
      <w:pPr>
        <w:numPr>
          <w:ilvl w:val="0"/>
          <w:numId w:val="70"/>
        </w:numPr>
        <w:spacing w:before="120" w:after="120"/>
        <w:contextualSpacing/>
        <w:rPr>
          <w:sz w:val="22"/>
          <w:szCs w:val="22"/>
          <w:highlight w:val="yellow"/>
          <w:u w:val="double"/>
        </w:rPr>
      </w:pPr>
      <w:r w:rsidRPr="008524F6">
        <w:rPr>
          <w:i/>
          <w:sz w:val="22"/>
          <w:szCs w:val="22"/>
          <w:highlight w:val="yellow"/>
          <w:u w:val="double"/>
        </w:rPr>
        <w:t>Fuel Oil.</w:t>
      </w:r>
    </w:p>
    <w:p w:rsidR="008524F6" w:rsidRPr="008524F6" w:rsidRDefault="008524F6" w:rsidP="00A237FB">
      <w:pPr>
        <w:numPr>
          <w:ilvl w:val="0"/>
          <w:numId w:val="74"/>
        </w:numPr>
        <w:spacing w:before="120" w:after="120"/>
        <w:contextualSpacing/>
        <w:rPr>
          <w:sz w:val="22"/>
          <w:szCs w:val="22"/>
          <w:highlight w:val="yellow"/>
          <w:u w:val="double"/>
        </w:rPr>
      </w:pPr>
      <w:r w:rsidRPr="008524F6">
        <w:rPr>
          <w:sz w:val="22"/>
          <w:szCs w:val="22"/>
          <w:highlight w:val="yellow"/>
          <w:u w:val="double"/>
        </w:rPr>
        <w:t>As determined by stack test (3-run average), CO emissions shall not exceed the following:</w:t>
      </w:r>
    </w:p>
    <w:p w:rsidR="008524F6" w:rsidRPr="008524F6" w:rsidRDefault="008524F6" w:rsidP="00A237FB">
      <w:pPr>
        <w:numPr>
          <w:ilvl w:val="0"/>
          <w:numId w:val="72"/>
        </w:numPr>
        <w:spacing w:before="120" w:after="120"/>
        <w:contextualSpacing/>
        <w:rPr>
          <w:sz w:val="22"/>
          <w:szCs w:val="22"/>
          <w:highlight w:val="yellow"/>
          <w:u w:val="double"/>
        </w:rPr>
      </w:pPr>
      <w:r w:rsidRPr="008524F6">
        <w:rPr>
          <w:sz w:val="22"/>
          <w:szCs w:val="22"/>
          <w:highlight w:val="yellow"/>
          <w:u w:val="double"/>
        </w:rPr>
        <w:t>14.4 ppmvd at 15% O</w:t>
      </w:r>
      <w:r w:rsidRPr="008524F6">
        <w:rPr>
          <w:sz w:val="22"/>
          <w:szCs w:val="22"/>
          <w:highlight w:val="yellow"/>
          <w:u w:val="double"/>
          <w:vertAlign w:val="subscript"/>
        </w:rPr>
        <w:t>2;</w:t>
      </w:r>
      <w:r w:rsidRPr="008524F6">
        <w:rPr>
          <w:sz w:val="22"/>
          <w:szCs w:val="22"/>
          <w:highlight w:val="yellow"/>
          <w:u w:val="double"/>
        </w:rPr>
        <w:t xml:space="preserve"> and </w:t>
      </w:r>
    </w:p>
    <w:p w:rsidR="008524F6" w:rsidRPr="008524F6" w:rsidRDefault="008524F6" w:rsidP="00A237FB">
      <w:pPr>
        <w:numPr>
          <w:ilvl w:val="0"/>
          <w:numId w:val="72"/>
        </w:numPr>
        <w:spacing w:before="120" w:after="120"/>
        <w:contextualSpacing/>
        <w:rPr>
          <w:sz w:val="22"/>
          <w:szCs w:val="22"/>
          <w:highlight w:val="yellow"/>
          <w:u w:val="double"/>
        </w:rPr>
      </w:pPr>
      <w:r w:rsidRPr="008524F6">
        <w:rPr>
          <w:sz w:val="22"/>
          <w:szCs w:val="22"/>
          <w:highlight w:val="yellow"/>
          <w:u w:val="double"/>
        </w:rPr>
        <w:t>64.7 lb/hr.</w:t>
      </w:r>
    </w:p>
    <w:p w:rsidR="008524F6" w:rsidRPr="008524F6" w:rsidRDefault="008524F6" w:rsidP="00A237FB">
      <w:pPr>
        <w:numPr>
          <w:ilvl w:val="0"/>
          <w:numId w:val="74"/>
        </w:numPr>
        <w:spacing w:before="120" w:after="120"/>
        <w:contextualSpacing/>
        <w:rPr>
          <w:sz w:val="22"/>
          <w:szCs w:val="22"/>
          <w:highlight w:val="yellow"/>
          <w:u w:val="double"/>
        </w:rPr>
      </w:pPr>
      <w:r w:rsidRPr="008524F6">
        <w:rPr>
          <w:sz w:val="22"/>
          <w:szCs w:val="22"/>
          <w:highlight w:val="yellow"/>
          <w:u w:val="double"/>
        </w:rPr>
        <w:t>As determined by CEMS (optional), CO emissions shall not exceed 15.0 ppmvd at 15% O</w:t>
      </w:r>
      <w:r w:rsidRPr="008524F6">
        <w:rPr>
          <w:sz w:val="22"/>
          <w:szCs w:val="22"/>
          <w:highlight w:val="yellow"/>
          <w:u w:val="double"/>
          <w:vertAlign w:val="subscript"/>
        </w:rPr>
        <w:t>2</w:t>
      </w:r>
      <w:r w:rsidRPr="008524F6">
        <w:rPr>
          <w:sz w:val="22"/>
          <w:szCs w:val="22"/>
          <w:highlight w:val="yellow"/>
          <w:u w:val="double"/>
        </w:rPr>
        <w:t>, based on a 24-hour block average.</w:t>
      </w:r>
    </w:p>
    <w:p w:rsidR="008524F6" w:rsidRPr="008524F6" w:rsidRDefault="008524F6" w:rsidP="008524F6">
      <w:pPr>
        <w:spacing w:before="120" w:after="120"/>
        <w:ind w:left="720"/>
        <w:rPr>
          <w:sz w:val="22"/>
          <w:szCs w:val="22"/>
          <w:u w:val="double"/>
        </w:rPr>
      </w:pPr>
      <w:r w:rsidRPr="008524F6">
        <w:rPr>
          <w:sz w:val="22"/>
          <w:szCs w:val="22"/>
          <w:highlight w:val="yellow"/>
          <w:u w:val="double"/>
        </w:rPr>
        <w:t xml:space="preserve">Compliance with the CO standards shall either be demonstrated by stack tests using EPA Method 10 or based on data collected by the optional CEMS.  If a CEMS is used compliance with the 24-hour CO CEMS standards shall be determined separately for each method of operation based on the hours of operation for each method.  </w:t>
      </w:r>
      <w:r w:rsidRPr="008524F6">
        <w:rPr>
          <w:i/>
          <w:sz w:val="22"/>
          <w:szCs w:val="22"/>
          <w:highlight w:val="yellow"/>
          <w:u w:val="double"/>
        </w:rPr>
        <w:t>{Permitting Note:  A 24-hour compliance average may be based on as little as 1-hour of CEMS data or as much as 24-hours of CEMS data.}</w:t>
      </w:r>
      <w:r w:rsidRPr="008524F6">
        <w:rPr>
          <w:sz w:val="22"/>
          <w:szCs w:val="22"/>
          <w:highlight w:val="yellow"/>
          <w:u w:val="double"/>
        </w:rPr>
        <w:t xml:space="preserve">  [Rule 62-212.400(BACT), F.A.C.; and, Permit No. 0850001-010-AC/PSD-FL-327 &amp; 0850001-041-AC/PSD-FL-146J &amp; 327F]</w:t>
      </w:r>
    </w:p>
    <w:p w:rsidR="008524F6" w:rsidRPr="008524F6" w:rsidRDefault="008524F6" w:rsidP="00A237FB">
      <w:pPr>
        <w:numPr>
          <w:ilvl w:val="0"/>
          <w:numId w:val="69"/>
        </w:numPr>
        <w:tabs>
          <w:tab w:val="left" w:pos="1080"/>
        </w:tabs>
        <w:spacing w:before="120"/>
        <w:ind w:left="720"/>
        <w:rPr>
          <w:sz w:val="22"/>
          <w:szCs w:val="22"/>
          <w:highlight w:val="yellow"/>
          <w:u w:val="double"/>
        </w:rPr>
      </w:pPr>
      <w:bookmarkStart w:id="50" w:name="_Ref512947749"/>
      <w:bookmarkStart w:id="51" w:name="_Hlk520463306"/>
      <w:r w:rsidRPr="008524F6">
        <w:rPr>
          <w:sz w:val="22"/>
          <w:szCs w:val="22"/>
          <w:highlight w:val="yellow"/>
          <w:u w:val="double"/>
        </w:rPr>
        <w:t>NO</w:t>
      </w:r>
      <w:r w:rsidRPr="008524F6">
        <w:rPr>
          <w:sz w:val="22"/>
          <w:szCs w:val="22"/>
          <w:highlight w:val="yellow"/>
          <w:u w:val="double"/>
          <w:vertAlign w:val="subscript"/>
        </w:rPr>
        <w:t>X</w:t>
      </w:r>
      <w:r w:rsidRPr="008524F6">
        <w:rPr>
          <w:sz w:val="22"/>
          <w:szCs w:val="22"/>
          <w:highlight w:val="yellow"/>
          <w:u w:val="double"/>
        </w:rPr>
        <w:t xml:space="preserve"> Emissions.  Emissions from each gas turbine are subject to the following NO</w:t>
      </w:r>
      <w:r w:rsidRPr="008524F6">
        <w:rPr>
          <w:sz w:val="22"/>
          <w:szCs w:val="22"/>
          <w:highlight w:val="yellow"/>
          <w:u w:val="double"/>
          <w:vertAlign w:val="subscript"/>
        </w:rPr>
        <w:t>X</w:t>
      </w:r>
      <w:r w:rsidRPr="008524F6">
        <w:rPr>
          <w:sz w:val="22"/>
          <w:szCs w:val="22"/>
          <w:highlight w:val="yellow"/>
          <w:u w:val="double"/>
        </w:rPr>
        <w:t xml:space="preserve"> emissions standards:</w:t>
      </w:r>
      <w:bookmarkEnd w:id="50"/>
    </w:p>
    <w:p w:rsidR="008524F6" w:rsidRPr="008524F6" w:rsidRDefault="008524F6" w:rsidP="00A237FB">
      <w:pPr>
        <w:numPr>
          <w:ilvl w:val="0"/>
          <w:numId w:val="75"/>
        </w:numPr>
        <w:rPr>
          <w:sz w:val="22"/>
          <w:szCs w:val="22"/>
          <w:highlight w:val="yellow"/>
          <w:u w:val="double"/>
        </w:rPr>
      </w:pPr>
      <w:r w:rsidRPr="008524F6">
        <w:rPr>
          <w:i/>
          <w:sz w:val="22"/>
          <w:szCs w:val="22"/>
          <w:highlight w:val="yellow"/>
          <w:u w:val="double"/>
        </w:rPr>
        <w:t xml:space="preserve">Natural Gas.  </w:t>
      </w:r>
    </w:p>
    <w:p w:rsidR="008524F6" w:rsidRPr="008524F6" w:rsidRDefault="008524F6" w:rsidP="00A237FB">
      <w:pPr>
        <w:numPr>
          <w:ilvl w:val="0"/>
          <w:numId w:val="76"/>
        </w:numPr>
        <w:rPr>
          <w:sz w:val="22"/>
          <w:szCs w:val="22"/>
          <w:highlight w:val="yellow"/>
          <w:u w:val="double"/>
        </w:rPr>
      </w:pPr>
      <w:r w:rsidRPr="008524F6">
        <w:rPr>
          <w:sz w:val="22"/>
          <w:szCs w:val="22"/>
          <w:highlight w:val="yellow"/>
          <w:u w:val="double"/>
        </w:rPr>
        <w:t>As determined by stack test (3-run average), NO</w:t>
      </w:r>
      <w:r w:rsidRPr="008524F6">
        <w:rPr>
          <w:sz w:val="22"/>
          <w:szCs w:val="22"/>
          <w:highlight w:val="yellow"/>
          <w:u w:val="double"/>
          <w:vertAlign w:val="subscript"/>
        </w:rPr>
        <w:t>X</w:t>
      </w:r>
      <w:r w:rsidRPr="008524F6">
        <w:rPr>
          <w:sz w:val="22"/>
          <w:szCs w:val="22"/>
          <w:highlight w:val="yellow"/>
          <w:u w:val="double"/>
        </w:rPr>
        <w:t xml:space="preserve"> emissions shall not exceed the following during normal combined cycle operation with SCR:</w:t>
      </w:r>
    </w:p>
    <w:p w:rsidR="008524F6" w:rsidRPr="008524F6" w:rsidRDefault="008524F6" w:rsidP="00A237FB">
      <w:pPr>
        <w:numPr>
          <w:ilvl w:val="0"/>
          <w:numId w:val="77"/>
        </w:numPr>
        <w:rPr>
          <w:sz w:val="22"/>
          <w:szCs w:val="22"/>
          <w:highlight w:val="yellow"/>
          <w:u w:val="double"/>
        </w:rPr>
      </w:pPr>
      <w:r w:rsidRPr="008524F6">
        <w:rPr>
          <w:sz w:val="22"/>
          <w:szCs w:val="22"/>
          <w:highlight w:val="yellow"/>
          <w:u w:val="double"/>
        </w:rPr>
        <w:t>2.5 ppmvd at 15% O</w:t>
      </w:r>
      <w:r w:rsidRPr="008524F6">
        <w:rPr>
          <w:sz w:val="22"/>
          <w:szCs w:val="22"/>
          <w:highlight w:val="yellow"/>
          <w:u w:val="double"/>
          <w:vertAlign w:val="subscript"/>
        </w:rPr>
        <w:t>2</w:t>
      </w:r>
      <w:r w:rsidRPr="008524F6">
        <w:rPr>
          <w:sz w:val="22"/>
          <w:szCs w:val="22"/>
          <w:highlight w:val="yellow"/>
          <w:u w:val="double"/>
        </w:rPr>
        <w:t>; and</w:t>
      </w:r>
    </w:p>
    <w:p w:rsidR="008524F6" w:rsidRPr="008524F6" w:rsidRDefault="008524F6" w:rsidP="00A237FB">
      <w:pPr>
        <w:numPr>
          <w:ilvl w:val="0"/>
          <w:numId w:val="77"/>
        </w:numPr>
        <w:rPr>
          <w:sz w:val="22"/>
          <w:szCs w:val="22"/>
          <w:highlight w:val="yellow"/>
          <w:u w:val="double"/>
        </w:rPr>
      </w:pPr>
      <w:r w:rsidRPr="008524F6">
        <w:rPr>
          <w:sz w:val="22"/>
          <w:szCs w:val="22"/>
          <w:highlight w:val="yellow"/>
          <w:u w:val="double"/>
        </w:rPr>
        <w:t>16.3 lb/hr.</w:t>
      </w:r>
    </w:p>
    <w:p w:rsidR="008524F6" w:rsidRPr="008524F6" w:rsidRDefault="008524F6" w:rsidP="00A237FB">
      <w:pPr>
        <w:numPr>
          <w:ilvl w:val="0"/>
          <w:numId w:val="76"/>
        </w:numPr>
        <w:rPr>
          <w:sz w:val="22"/>
          <w:szCs w:val="22"/>
          <w:highlight w:val="yellow"/>
          <w:u w:val="double"/>
        </w:rPr>
      </w:pPr>
      <w:r w:rsidRPr="008524F6">
        <w:rPr>
          <w:sz w:val="22"/>
          <w:szCs w:val="22"/>
          <w:highlight w:val="yellow"/>
          <w:u w:val="double"/>
        </w:rPr>
        <w:t>As determined by stack test (3-run average), NO</w:t>
      </w:r>
      <w:r w:rsidRPr="008524F6">
        <w:rPr>
          <w:sz w:val="22"/>
          <w:szCs w:val="22"/>
          <w:highlight w:val="yellow"/>
          <w:u w:val="double"/>
          <w:vertAlign w:val="subscript"/>
        </w:rPr>
        <w:t>X</w:t>
      </w:r>
      <w:r w:rsidRPr="008524F6">
        <w:rPr>
          <w:sz w:val="22"/>
          <w:szCs w:val="22"/>
          <w:highlight w:val="yellow"/>
          <w:u w:val="double"/>
        </w:rPr>
        <w:t xml:space="preserve"> emissions shall not exceed the following during combined cycle operation with SCR and duct burning (DB):</w:t>
      </w:r>
    </w:p>
    <w:p w:rsidR="008524F6" w:rsidRPr="008524F6" w:rsidRDefault="008524F6" w:rsidP="00A237FB">
      <w:pPr>
        <w:numPr>
          <w:ilvl w:val="0"/>
          <w:numId w:val="78"/>
        </w:numPr>
        <w:rPr>
          <w:sz w:val="22"/>
          <w:szCs w:val="22"/>
          <w:highlight w:val="yellow"/>
          <w:u w:val="double"/>
        </w:rPr>
      </w:pPr>
      <w:r w:rsidRPr="008524F6">
        <w:rPr>
          <w:sz w:val="22"/>
          <w:szCs w:val="22"/>
          <w:highlight w:val="yellow"/>
          <w:u w:val="double"/>
        </w:rPr>
        <w:t>2.5 ppmvd at 15% O</w:t>
      </w:r>
      <w:r w:rsidRPr="008524F6">
        <w:rPr>
          <w:sz w:val="22"/>
          <w:szCs w:val="22"/>
          <w:highlight w:val="yellow"/>
          <w:u w:val="double"/>
          <w:vertAlign w:val="subscript"/>
        </w:rPr>
        <w:t>2</w:t>
      </w:r>
      <w:r w:rsidRPr="008524F6">
        <w:rPr>
          <w:sz w:val="22"/>
          <w:szCs w:val="22"/>
          <w:highlight w:val="yellow"/>
          <w:u w:val="double"/>
        </w:rPr>
        <w:t>; and</w:t>
      </w:r>
    </w:p>
    <w:p w:rsidR="008524F6" w:rsidRPr="008524F6" w:rsidRDefault="008524F6" w:rsidP="00A237FB">
      <w:pPr>
        <w:numPr>
          <w:ilvl w:val="0"/>
          <w:numId w:val="78"/>
        </w:numPr>
        <w:rPr>
          <w:sz w:val="22"/>
          <w:szCs w:val="22"/>
          <w:highlight w:val="yellow"/>
          <w:u w:val="double"/>
        </w:rPr>
      </w:pPr>
      <w:r w:rsidRPr="008524F6">
        <w:rPr>
          <w:sz w:val="22"/>
          <w:szCs w:val="22"/>
          <w:highlight w:val="yellow"/>
          <w:u w:val="double"/>
        </w:rPr>
        <w:t>23.6 lb/hr.</w:t>
      </w:r>
    </w:p>
    <w:p w:rsidR="008524F6" w:rsidRPr="008524F6" w:rsidRDefault="008524F6" w:rsidP="00A237FB">
      <w:pPr>
        <w:numPr>
          <w:ilvl w:val="0"/>
          <w:numId w:val="76"/>
        </w:numPr>
        <w:rPr>
          <w:sz w:val="22"/>
          <w:szCs w:val="22"/>
          <w:highlight w:val="yellow"/>
          <w:u w:val="double"/>
        </w:rPr>
      </w:pPr>
      <w:r w:rsidRPr="008524F6">
        <w:rPr>
          <w:sz w:val="22"/>
          <w:szCs w:val="22"/>
          <w:highlight w:val="yellow"/>
          <w:u w:val="double"/>
        </w:rPr>
        <w:t>As determined by CEMS, NO</w:t>
      </w:r>
      <w:r w:rsidRPr="008524F6">
        <w:rPr>
          <w:sz w:val="22"/>
          <w:szCs w:val="22"/>
          <w:highlight w:val="yellow"/>
          <w:u w:val="double"/>
          <w:vertAlign w:val="subscript"/>
        </w:rPr>
        <w:t>X</w:t>
      </w:r>
      <w:r w:rsidRPr="008524F6">
        <w:rPr>
          <w:sz w:val="22"/>
          <w:szCs w:val="22"/>
          <w:highlight w:val="yellow"/>
          <w:u w:val="double"/>
        </w:rPr>
        <w:t xml:space="preserve"> emissions shall not exceed 2.5 ppmvd at 15% O</w:t>
      </w:r>
      <w:r w:rsidRPr="008524F6">
        <w:rPr>
          <w:sz w:val="22"/>
          <w:szCs w:val="22"/>
          <w:highlight w:val="yellow"/>
          <w:u w:val="double"/>
          <w:vertAlign w:val="subscript"/>
        </w:rPr>
        <w:t>2</w:t>
      </w:r>
      <w:r w:rsidRPr="008524F6">
        <w:rPr>
          <w:sz w:val="22"/>
          <w:szCs w:val="22"/>
          <w:highlight w:val="yellow"/>
          <w:u w:val="double"/>
        </w:rPr>
        <w:t xml:space="preserve"> during combined cycle with SCR for all operating modes, based on a 24-hour block average.</w:t>
      </w:r>
    </w:p>
    <w:p w:rsidR="008524F6" w:rsidRPr="008524F6" w:rsidRDefault="008524F6" w:rsidP="00A237FB">
      <w:pPr>
        <w:numPr>
          <w:ilvl w:val="0"/>
          <w:numId w:val="75"/>
        </w:numPr>
        <w:rPr>
          <w:sz w:val="22"/>
          <w:szCs w:val="22"/>
          <w:highlight w:val="yellow"/>
          <w:u w:val="double"/>
        </w:rPr>
      </w:pPr>
      <w:r w:rsidRPr="008524F6">
        <w:rPr>
          <w:i/>
          <w:sz w:val="22"/>
          <w:szCs w:val="22"/>
          <w:highlight w:val="yellow"/>
          <w:u w:val="double"/>
        </w:rPr>
        <w:t>Fuel Oil.</w:t>
      </w:r>
    </w:p>
    <w:p w:rsidR="008524F6" w:rsidRPr="008524F6" w:rsidRDefault="008524F6" w:rsidP="00A237FB">
      <w:pPr>
        <w:numPr>
          <w:ilvl w:val="0"/>
          <w:numId w:val="79"/>
        </w:numPr>
        <w:ind w:left="1440"/>
        <w:rPr>
          <w:sz w:val="22"/>
          <w:szCs w:val="22"/>
          <w:highlight w:val="yellow"/>
          <w:u w:val="double"/>
        </w:rPr>
      </w:pPr>
      <w:r w:rsidRPr="008524F6">
        <w:rPr>
          <w:sz w:val="22"/>
          <w:szCs w:val="22"/>
          <w:highlight w:val="yellow"/>
          <w:u w:val="double"/>
        </w:rPr>
        <w:t>As determined by stack test (3-run average), NO</w:t>
      </w:r>
      <w:r w:rsidRPr="008524F6">
        <w:rPr>
          <w:sz w:val="22"/>
          <w:szCs w:val="22"/>
          <w:highlight w:val="yellow"/>
          <w:u w:val="double"/>
          <w:vertAlign w:val="subscript"/>
        </w:rPr>
        <w:t>X</w:t>
      </w:r>
      <w:r w:rsidRPr="008524F6">
        <w:rPr>
          <w:sz w:val="22"/>
          <w:szCs w:val="22"/>
          <w:highlight w:val="yellow"/>
          <w:u w:val="double"/>
        </w:rPr>
        <w:t xml:space="preserve"> emissions shall not exceed the following during combined cycle operation with SCR:</w:t>
      </w:r>
    </w:p>
    <w:p w:rsidR="008524F6" w:rsidRPr="008524F6" w:rsidRDefault="008524F6" w:rsidP="00A237FB">
      <w:pPr>
        <w:numPr>
          <w:ilvl w:val="0"/>
          <w:numId w:val="80"/>
        </w:numPr>
        <w:ind w:left="1800"/>
        <w:rPr>
          <w:sz w:val="22"/>
          <w:szCs w:val="22"/>
          <w:highlight w:val="yellow"/>
          <w:u w:val="double"/>
        </w:rPr>
      </w:pPr>
      <w:r w:rsidRPr="008524F6">
        <w:rPr>
          <w:sz w:val="22"/>
          <w:szCs w:val="22"/>
          <w:highlight w:val="yellow"/>
          <w:u w:val="double"/>
        </w:rPr>
        <w:t>10.0 ppmvd at 15% O</w:t>
      </w:r>
      <w:r w:rsidRPr="008524F6">
        <w:rPr>
          <w:sz w:val="22"/>
          <w:szCs w:val="22"/>
          <w:highlight w:val="yellow"/>
          <w:u w:val="double"/>
          <w:vertAlign w:val="subscript"/>
        </w:rPr>
        <w:t>2</w:t>
      </w:r>
      <w:r w:rsidRPr="008524F6">
        <w:rPr>
          <w:sz w:val="22"/>
          <w:szCs w:val="22"/>
          <w:highlight w:val="yellow"/>
          <w:u w:val="double"/>
        </w:rPr>
        <w:t>; and</w:t>
      </w:r>
    </w:p>
    <w:p w:rsidR="008524F6" w:rsidRPr="008524F6" w:rsidRDefault="008524F6" w:rsidP="00A237FB">
      <w:pPr>
        <w:numPr>
          <w:ilvl w:val="0"/>
          <w:numId w:val="80"/>
        </w:numPr>
        <w:ind w:left="1800"/>
        <w:rPr>
          <w:sz w:val="22"/>
          <w:szCs w:val="22"/>
          <w:highlight w:val="yellow"/>
          <w:u w:val="double"/>
        </w:rPr>
      </w:pPr>
      <w:r w:rsidRPr="008524F6">
        <w:rPr>
          <w:sz w:val="22"/>
          <w:szCs w:val="22"/>
          <w:highlight w:val="yellow"/>
          <w:u w:val="double"/>
        </w:rPr>
        <w:t>76.0 lb/hr.</w:t>
      </w:r>
    </w:p>
    <w:p w:rsidR="008524F6" w:rsidRPr="008524F6" w:rsidRDefault="008524F6" w:rsidP="00A237FB">
      <w:pPr>
        <w:numPr>
          <w:ilvl w:val="0"/>
          <w:numId w:val="79"/>
        </w:numPr>
        <w:ind w:left="1440"/>
        <w:rPr>
          <w:sz w:val="22"/>
          <w:szCs w:val="22"/>
          <w:highlight w:val="yellow"/>
          <w:u w:val="double"/>
        </w:rPr>
      </w:pPr>
      <w:r w:rsidRPr="008524F6">
        <w:rPr>
          <w:sz w:val="22"/>
          <w:szCs w:val="22"/>
          <w:highlight w:val="yellow"/>
          <w:u w:val="double"/>
        </w:rPr>
        <w:t>As determined by CEMS, NO</w:t>
      </w:r>
      <w:r w:rsidRPr="008524F6">
        <w:rPr>
          <w:sz w:val="22"/>
          <w:szCs w:val="22"/>
          <w:highlight w:val="yellow"/>
          <w:u w:val="double"/>
          <w:vertAlign w:val="subscript"/>
        </w:rPr>
        <w:t>X</w:t>
      </w:r>
      <w:r w:rsidRPr="008524F6">
        <w:rPr>
          <w:sz w:val="22"/>
          <w:szCs w:val="22"/>
          <w:highlight w:val="yellow"/>
          <w:u w:val="double"/>
        </w:rPr>
        <w:t xml:space="preserve"> emissions shall not exceed 2.5 ppmvd at 15% O</w:t>
      </w:r>
      <w:r w:rsidRPr="008524F6">
        <w:rPr>
          <w:sz w:val="22"/>
          <w:szCs w:val="22"/>
          <w:highlight w:val="yellow"/>
          <w:u w:val="double"/>
          <w:vertAlign w:val="subscript"/>
        </w:rPr>
        <w:t>2</w:t>
      </w:r>
      <w:r w:rsidRPr="008524F6">
        <w:rPr>
          <w:sz w:val="22"/>
          <w:szCs w:val="22"/>
          <w:highlight w:val="yellow"/>
          <w:u w:val="double"/>
        </w:rPr>
        <w:t xml:space="preserve"> during combined cycle operation with SCR for all operating modes, based on a 24-hour block average. </w:t>
      </w:r>
    </w:p>
    <w:p w:rsidR="008524F6" w:rsidRPr="008524F6" w:rsidRDefault="008524F6" w:rsidP="008524F6">
      <w:pPr>
        <w:spacing w:after="120"/>
        <w:ind w:left="720"/>
        <w:rPr>
          <w:sz w:val="22"/>
          <w:szCs w:val="22"/>
          <w:u w:val="double"/>
        </w:rPr>
      </w:pPr>
      <w:bookmarkStart w:id="52" w:name="_Hlk504134564"/>
      <w:r w:rsidRPr="008524F6">
        <w:rPr>
          <w:sz w:val="22"/>
          <w:szCs w:val="22"/>
          <w:highlight w:val="yellow"/>
          <w:u w:val="double"/>
        </w:rPr>
        <w:t>Compliance with the NO</w:t>
      </w:r>
      <w:r w:rsidRPr="008524F6">
        <w:rPr>
          <w:sz w:val="22"/>
          <w:szCs w:val="22"/>
          <w:highlight w:val="yellow"/>
          <w:u w:val="double"/>
          <w:vertAlign w:val="subscript"/>
        </w:rPr>
        <w:t>X</w:t>
      </w:r>
      <w:r w:rsidRPr="008524F6">
        <w:rPr>
          <w:sz w:val="22"/>
          <w:szCs w:val="22"/>
          <w:highlight w:val="yellow"/>
          <w:u w:val="double"/>
        </w:rPr>
        <w:t xml:space="preserve"> standards shall be demonstrated based on data collected by the required CEMS.  Compliance may also be determined by EPA Method 7E or 20.  NO</w:t>
      </w:r>
      <w:r w:rsidRPr="008524F6">
        <w:rPr>
          <w:sz w:val="22"/>
          <w:szCs w:val="22"/>
          <w:highlight w:val="yellow"/>
          <w:u w:val="double"/>
          <w:vertAlign w:val="subscript"/>
        </w:rPr>
        <w:t xml:space="preserve">X </w:t>
      </w:r>
      <w:r w:rsidRPr="008524F6">
        <w:rPr>
          <w:sz w:val="22"/>
          <w:szCs w:val="22"/>
          <w:highlight w:val="yellow"/>
          <w:u w:val="double"/>
        </w:rPr>
        <w:t>mass emission rates are defined as oxides of nitrogen expressed as NO</w:t>
      </w:r>
      <w:r w:rsidRPr="008524F6">
        <w:rPr>
          <w:sz w:val="22"/>
          <w:szCs w:val="22"/>
          <w:highlight w:val="yellow"/>
          <w:u w:val="double"/>
          <w:vertAlign w:val="subscript"/>
        </w:rPr>
        <w:t>2</w:t>
      </w:r>
      <w:r w:rsidRPr="008524F6">
        <w:rPr>
          <w:sz w:val="22"/>
          <w:szCs w:val="22"/>
          <w:highlight w:val="yellow"/>
          <w:u w:val="double"/>
        </w:rPr>
        <w:t xml:space="preserve">.  </w:t>
      </w:r>
      <w:r w:rsidRPr="008524F6">
        <w:rPr>
          <w:i/>
          <w:sz w:val="22"/>
          <w:szCs w:val="22"/>
          <w:highlight w:val="yellow"/>
          <w:u w:val="double"/>
        </w:rPr>
        <w:t>{Permitting Note:  A 24-hour compliance average may be based on as little as 1-hour of CEMS data or as much as 24-hours of CEMS data.}</w:t>
      </w:r>
      <w:bookmarkEnd w:id="52"/>
      <w:r w:rsidRPr="008524F6">
        <w:rPr>
          <w:i/>
          <w:sz w:val="22"/>
          <w:szCs w:val="22"/>
          <w:highlight w:val="yellow"/>
          <w:u w:val="double"/>
        </w:rPr>
        <w:t xml:space="preserve">  </w:t>
      </w:r>
      <w:r w:rsidRPr="008524F6">
        <w:rPr>
          <w:sz w:val="22"/>
          <w:szCs w:val="22"/>
          <w:highlight w:val="yellow"/>
          <w:u w:val="double"/>
        </w:rPr>
        <w:t>[Rule 62-212.400(BACT), F.A.C.; and, Permit No. 0850001-010-AC/PSD-FL-327]</w:t>
      </w:r>
      <w:bookmarkEnd w:id="51"/>
    </w:p>
    <w:p w:rsidR="008524F6" w:rsidRPr="007E227F" w:rsidRDefault="008524F6" w:rsidP="008524F6">
      <w:pPr>
        <w:tabs>
          <w:tab w:val="left" w:pos="1080"/>
        </w:tabs>
        <w:spacing w:before="120" w:after="120"/>
        <w:ind w:left="720"/>
        <w:rPr>
          <w:sz w:val="24"/>
          <w:szCs w:val="22"/>
          <w:highlight w:val="yellow"/>
          <w:u w:val="double"/>
        </w:rPr>
      </w:pPr>
      <w:r w:rsidRPr="008524F6">
        <w:rPr>
          <w:i/>
          <w:sz w:val="22"/>
          <w:szCs w:val="22"/>
          <w:highlight w:val="yellow"/>
          <w:u w:val="double"/>
        </w:rPr>
        <w:t>{Permitting Note:  These emissions units have not to date been operated in the high-power modes (HPM) of peaking or power augmentation (PA).  Therefore, a compliance plan (see Appendix CP) is included to cover initial testing requirements for these HPM for emissions of CO and NO</w:t>
      </w:r>
      <w:r w:rsidRPr="008524F6">
        <w:rPr>
          <w:i/>
          <w:sz w:val="22"/>
          <w:szCs w:val="22"/>
          <w:highlight w:val="yellow"/>
          <w:u w:val="double"/>
          <w:vertAlign w:val="subscript"/>
        </w:rPr>
        <w:t>X</w:t>
      </w:r>
      <w:r w:rsidRPr="008524F6">
        <w:rPr>
          <w:i/>
          <w:sz w:val="22"/>
          <w:szCs w:val="22"/>
          <w:highlight w:val="yellow"/>
          <w:u w:val="double"/>
        </w:rPr>
        <w:t>.}</w:t>
      </w:r>
    </w:p>
    <w:p w:rsidR="008524F6" w:rsidRPr="008524F6" w:rsidRDefault="008524F6" w:rsidP="00A237FB">
      <w:pPr>
        <w:numPr>
          <w:ilvl w:val="0"/>
          <w:numId w:val="69"/>
        </w:numPr>
        <w:tabs>
          <w:tab w:val="left" w:pos="1080"/>
        </w:tabs>
        <w:spacing w:before="120"/>
        <w:ind w:left="720"/>
        <w:rPr>
          <w:sz w:val="22"/>
          <w:szCs w:val="22"/>
          <w:highlight w:val="yellow"/>
          <w:u w:val="double"/>
        </w:rPr>
      </w:pPr>
      <w:bookmarkStart w:id="53" w:name="_Ref520451732"/>
      <w:r w:rsidRPr="008524F6">
        <w:rPr>
          <w:sz w:val="22"/>
          <w:szCs w:val="22"/>
          <w:highlight w:val="yellow"/>
          <w:u w:val="double"/>
        </w:rPr>
        <w:t>NO</w:t>
      </w:r>
      <w:r w:rsidRPr="008524F6">
        <w:rPr>
          <w:sz w:val="22"/>
          <w:szCs w:val="22"/>
          <w:highlight w:val="yellow"/>
          <w:u w:val="double"/>
          <w:vertAlign w:val="subscript"/>
        </w:rPr>
        <w:t>X</w:t>
      </w:r>
      <w:r w:rsidRPr="008524F6">
        <w:rPr>
          <w:sz w:val="22"/>
          <w:szCs w:val="22"/>
          <w:highlight w:val="yellow"/>
          <w:u w:val="double"/>
        </w:rPr>
        <w:t xml:space="preserve"> Emissions Limits – NSPS Subpart KKKK.  The concentration of NO</w:t>
      </w:r>
      <w:r w:rsidRPr="008524F6">
        <w:rPr>
          <w:sz w:val="22"/>
          <w:szCs w:val="22"/>
          <w:highlight w:val="yellow"/>
          <w:u w:val="double"/>
          <w:vertAlign w:val="subscript"/>
        </w:rPr>
        <w:t>X</w:t>
      </w:r>
      <w:r w:rsidRPr="008524F6">
        <w:rPr>
          <w:sz w:val="22"/>
          <w:szCs w:val="22"/>
          <w:highlight w:val="yellow"/>
          <w:u w:val="double"/>
        </w:rPr>
        <w:t xml:space="preserve"> in the exhaust gas of each CT shall not exceed the following limits, based on a 30-unit operating day rolling average (as described in Specific Condition </w:t>
      </w:r>
      <w:r>
        <w:rPr>
          <w:b/>
          <w:sz w:val="22"/>
          <w:szCs w:val="22"/>
          <w:highlight w:val="yellow"/>
          <w:u w:val="double"/>
        </w:rPr>
        <w:t>D.25</w:t>
      </w:r>
      <w:r w:rsidRPr="008524F6">
        <w:rPr>
          <w:sz w:val="22"/>
          <w:szCs w:val="22"/>
          <w:highlight w:val="yellow"/>
          <w:u w:val="double"/>
        </w:rPr>
        <w:t xml:space="preserve">, paragraph </w:t>
      </w:r>
      <w:r>
        <w:rPr>
          <w:b/>
          <w:sz w:val="22"/>
          <w:szCs w:val="22"/>
          <w:highlight w:val="yellow"/>
          <w:u w:val="double"/>
        </w:rPr>
        <w:t>a</w:t>
      </w:r>
      <w:r w:rsidRPr="008524F6">
        <w:rPr>
          <w:sz w:val="22"/>
          <w:szCs w:val="22"/>
          <w:highlight w:val="yellow"/>
          <w:u w:val="double"/>
        </w:rPr>
        <w:t>):</w:t>
      </w:r>
      <w:bookmarkEnd w:id="53"/>
    </w:p>
    <w:p w:rsidR="008524F6" w:rsidRPr="008524F6" w:rsidRDefault="008524F6" w:rsidP="00A237FB">
      <w:pPr>
        <w:numPr>
          <w:ilvl w:val="0"/>
          <w:numId w:val="81"/>
        </w:numPr>
        <w:rPr>
          <w:sz w:val="22"/>
          <w:szCs w:val="22"/>
          <w:highlight w:val="yellow"/>
          <w:u w:val="double"/>
        </w:rPr>
      </w:pPr>
      <w:r w:rsidRPr="008524F6">
        <w:rPr>
          <w:i/>
          <w:sz w:val="22"/>
          <w:szCs w:val="22"/>
          <w:highlight w:val="yellow"/>
          <w:u w:val="double"/>
        </w:rPr>
        <w:t xml:space="preserve">Natural Gas.  </w:t>
      </w:r>
      <w:r w:rsidRPr="008524F6">
        <w:rPr>
          <w:sz w:val="22"/>
          <w:szCs w:val="22"/>
          <w:highlight w:val="yellow"/>
          <w:u w:val="double"/>
        </w:rPr>
        <w:t>15 ppm at 15% O</w:t>
      </w:r>
      <w:r w:rsidRPr="008524F6">
        <w:rPr>
          <w:sz w:val="22"/>
          <w:szCs w:val="22"/>
          <w:highlight w:val="yellow"/>
          <w:u w:val="double"/>
          <w:vertAlign w:val="subscript"/>
        </w:rPr>
        <w:t>2</w:t>
      </w:r>
      <w:r w:rsidRPr="008524F6">
        <w:rPr>
          <w:sz w:val="22"/>
          <w:szCs w:val="22"/>
          <w:highlight w:val="yellow"/>
          <w:u w:val="double"/>
        </w:rPr>
        <w:t xml:space="preserve"> or 54 nanograms per Joule (ng/J) of useful output (0.43 pounds per megawatt-hour (lb/MWh)) while operating at 75% of peak load or greater.</w:t>
      </w:r>
    </w:p>
    <w:p w:rsidR="008524F6" w:rsidRPr="008524F6" w:rsidRDefault="008524F6" w:rsidP="00A237FB">
      <w:pPr>
        <w:numPr>
          <w:ilvl w:val="0"/>
          <w:numId w:val="81"/>
        </w:numPr>
        <w:rPr>
          <w:sz w:val="22"/>
          <w:szCs w:val="22"/>
          <w:highlight w:val="yellow"/>
          <w:u w:val="double"/>
        </w:rPr>
      </w:pPr>
      <w:r w:rsidRPr="008524F6">
        <w:rPr>
          <w:i/>
          <w:sz w:val="22"/>
          <w:szCs w:val="22"/>
          <w:highlight w:val="yellow"/>
          <w:u w:val="double"/>
        </w:rPr>
        <w:t xml:space="preserve">Fuel Oil.  </w:t>
      </w:r>
      <w:r w:rsidRPr="008524F6">
        <w:rPr>
          <w:sz w:val="22"/>
          <w:szCs w:val="22"/>
          <w:highlight w:val="yellow"/>
          <w:u w:val="double"/>
        </w:rPr>
        <w:t>42 ppm at 15% O</w:t>
      </w:r>
      <w:r w:rsidRPr="008524F6">
        <w:rPr>
          <w:sz w:val="22"/>
          <w:szCs w:val="22"/>
          <w:highlight w:val="yellow"/>
          <w:u w:val="double"/>
          <w:vertAlign w:val="subscript"/>
        </w:rPr>
        <w:t>2</w:t>
      </w:r>
      <w:r w:rsidRPr="008524F6">
        <w:rPr>
          <w:sz w:val="22"/>
          <w:szCs w:val="22"/>
          <w:highlight w:val="yellow"/>
          <w:u w:val="double"/>
        </w:rPr>
        <w:t xml:space="preserve"> or 160 ng/J of useful output (1.3 lb/MWh) while operating at 75% of peak load or greater.  </w:t>
      </w:r>
    </w:p>
    <w:p w:rsidR="008524F6" w:rsidRPr="008524F6" w:rsidRDefault="008524F6" w:rsidP="00A237FB">
      <w:pPr>
        <w:numPr>
          <w:ilvl w:val="0"/>
          <w:numId w:val="81"/>
        </w:numPr>
        <w:rPr>
          <w:sz w:val="22"/>
          <w:szCs w:val="22"/>
          <w:highlight w:val="yellow"/>
          <w:u w:val="double"/>
        </w:rPr>
      </w:pPr>
      <w:r w:rsidRPr="008524F6">
        <w:rPr>
          <w:i/>
          <w:sz w:val="22"/>
          <w:szCs w:val="22"/>
          <w:highlight w:val="yellow"/>
          <w:u w:val="double"/>
        </w:rPr>
        <w:t xml:space="preserve">Low Load Operation.  </w:t>
      </w:r>
      <w:r w:rsidRPr="008524F6">
        <w:rPr>
          <w:sz w:val="22"/>
          <w:szCs w:val="22"/>
          <w:highlight w:val="yellow"/>
          <w:u w:val="double"/>
        </w:rPr>
        <w:t>96 ppm at 15% O</w:t>
      </w:r>
      <w:r w:rsidRPr="008524F6">
        <w:rPr>
          <w:sz w:val="22"/>
          <w:szCs w:val="22"/>
          <w:highlight w:val="yellow"/>
          <w:u w:val="double"/>
          <w:vertAlign w:val="subscript"/>
        </w:rPr>
        <w:t>2</w:t>
      </w:r>
      <w:r w:rsidRPr="008524F6">
        <w:rPr>
          <w:sz w:val="22"/>
          <w:szCs w:val="22"/>
          <w:highlight w:val="yellow"/>
          <w:u w:val="double"/>
        </w:rPr>
        <w:t xml:space="preserve"> or 590 ng/J of useful output (4.7 lb/MWh) while operating at less than 75% of peak load.</w:t>
      </w:r>
    </w:p>
    <w:p w:rsidR="008524F6" w:rsidRPr="008524F6" w:rsidRDefault="008524F6" w:rsidP="00A237FB">
      <w:pPr>
        <w:numPr>
          <w:ilvl w:val="0"/>
          <w:numId w:val="81"/>
        </w:numPr>
        <w:rPr>
          <w:sz w:val="22"/>
          <w:szCs w:val="22"/>
          <w:highlight w:val="yellow"/>
          <w:u w:val="double"/>
        </w:rPr>
      </w:pPr>
      <w:r w:rsidRPr="008524F6">
        <w:rPr>
          <w:i/>
          <w:sz w:val="22"/>
          <w:szCs w:val="22"/>
          <w:highlight w:val="yellow"/>
          <w:u w:val="double"/>
        </w:rPr>
        <w:t>Multiple Fuels.</w:t>
      </w:r>
      <w:r w:rsidRPr="008524F6">
        <w:rPr>
          <w:sz w:val="22"/>
          <w:szCs w:val="22"/>
          <w:highlight w:val="yellow"/>
          <w:u w:val="double"/>
        </w:rPr>
        <w:t xml:space="preserve">  If the total heat input to each CT is greater than or equal to 50% natural gas, the corresponding limit for a natural-gas fired turbine must be met when burning that fuel.  Similarly, when the total heat input to each CT is greater than 50% distillate oil, the corresponding limit for distillate oil must be met for the duration of the time that distillate oil is burned.</w:t>
      </w:r>
    </w:p>
    <w:p w:rsidR="008524F6" w:rsidRPr="008524F6" w:rsidRDefault="008524F6" w:rsidP="00A237FB">
      <w:pPr>
        <w:numPr>
          <w:ilvl w:val="0"/>
          <w:numId w:val="81"/>
        </w:numPr>
        <w:rPr>
          <w:sz w:val="22"/>
          <w:szCs w:val="22"/>
          <w:highlight w:val="yellow"/>
          <w:u w:val="double"/>
        </w:rPr>
      </w:pPr>
      <w:r w:rsidRPr="008524F6">
        <w:rPr>
          <w:i/>
          <w:sz w:val="22"/>
          <w:szCs w:val="22"/>
          <w:highlight w:val="yellow"/>
          <w:u w:val="double"/>
        </w:rPr>
        <w:t>Independent HRSGs.</w:t>
      </w:r>
      <w:r w:rsidRPr="008524F6">
        <w:rPr>
          <w:sz w:val="22"/>
          <w:szCs w:val="22"/>
          <w:highlight w:val="yellow"/>
          <w:u w:val="double"/>
        </w:rPr>
        <w:t xml:space="preserve">  Each HRSG must meet a limit of 54 ppm at 15% O</w:t>
      </w:r>
      <w:r w:rsidRPr="008524F6">
        <w:rPr>
          <w:sz w:val="22"/>
          <w:szCs w:val="22"/>
          <w:highlight w:val="yellow"/>
          <w:u w:val="double"/>
          <w:vertAlign w:val="subscript"/>
        </w:rPr>
        <w:t>2</w:t>
      </w:r>
      <w:r w:rsidRPr="008524F6">
        <w:rPr>
          <w:sz w:val="22"/>
          <w:szCs w:val="22"/>
          <w:highlight w:val="yellow"/>
          <w:u w:val="double"/>
        </w:rPr>
        <w:t xml:space="preserve"> or 110 ng/J of useful output (0.86 lb/MWh) while the duct burners are operating independent of the CT.</w:t>
      </w:r>
    </w:p>
    <w:p w:rsidR="008524F6" w:rsidRPr="00F344EF" w:rsidRDefault="008524F6" w:rsidP="008524F6">
      <w:pPr>
        <w:spacing w:after="120"/>
        <w:ind w:left="720"/>
        <w:rPr>
          <w:sz w:val="22"/>
          <w:szCs w:val="22"/>
          <w:highlight w:val="yellow"/>
          <w:u w:val="double"/>
        </w:rPr>
      </w:pPr>
      <w:r w:rsidRPr="008524F6">
        <w:rPr>
          <w:sz w:val="22"/>
          <w:szCs w:val="22"/>
          <w:highlight w:val="yellow"/>
          <w:u w:val="double"/>
        </w:rPr>
        <w:t>[40 CFR 60.4320(a), 60.4325 &amp; 60.4350(h)]</w:t>
      </w:r>
    </w:p>
    <w:p w:rsidR="008524F6" w:rsidRPr="00F344EF" w:rsidRDefault="008524F6" w:rsidP="00A237FB">
      <w:pPr>
        <w:numPr>
          <w:ilvl w:val="0"/>
          <w:numId w:val="69"/>
        </w:numPr>
        <w:tabs>
          <w:tab w:val="left" w:pos="1080"/>
        </w:tabs>
        <w:spacing w:before="120"/>
        <w:ind w:left="720"/>
        <w:rPr>
          <w:sz w:val="22"/>
          <w:szCs w:val="22"/>
          <w:u w:val="double"/>
        </w:rPr>
      </w:pPr>
      <w:r w:rsidRPr="00F344EF">
        <w:rPr>
          <w:sz w:val="22"/>
          <w:szCs w:val="22"/>
          <w:highlight w:val="yellow"/>
          <w:u w:val="double"/>
        </w:rPr>
        <w:t>PM/PM</w:t>
      </w:r>
      <w:r w:rsidRPr="00F344EF">
        <w:rPr>
          <w:sz w:val="22"/>
          <w:szCs w:val="22"/>
          <w:highlight w:val="yellow"/>
          <w:u w:val="double"/>
          <w:vertAlign w:val="subscript"/>
        </w:rPr>
        <w:t>10</w:t>
      </w:r>
      <w:r w:rsidRPr="00F344EF">
        <w:rPr>
          <w:sz w:val="22"/>
          <w:szCs w:val="22"/>
          <w:highlight w:val="yellow"/>
          <w:u w:val="double"/>
        </w:rPr>
        <w:t xml:space="preserve"> Emissions Standards.  </w:t>
      </w:r>
      <w:bookmarkStart w:id="54" w:name="_Hlk504134601"/>
      <w:r w:rsidRPr="00F344EF">
        <w:rPr>
          <w:sz w:val="22"/>
          <w:szCs w:val="22"/>
          <w:highlight w:val="yellow"/>
          <w:u w:val="double"/>
        </w:rPr>
        <w:t xml:space="preserve">The fuel specifications established in </w:t>
      </w:r>
      <w:bookmarkStart w:id="55" w:name="_Hlk505684136"/>
      <w:r w:rsidRPr="00F344EF">
        <w:rPr>
          <w:sz w:val="22"/>
          <w:szCs w:val="22"/>
          <w:highlight w:val="yellow"/>
          <w:u w:val="double"/>
        </w:rPr>
        <w:t xml:space="preserve">Specific Condition </w:t>
      </w:r>
      <w:bookmarkEnd w:id="55"/>
      <w:r w:rsidR="00C76A61" w:rsidRPr="00C76A61">
        <w:rPr>
          <w:b/>
          <w:sz w:val="22"/>
          <w:szCs w:val="22"/>
          <w:highlight w:val="yellow"/>
          <w:u w:val="double"/>
        </w:rPr>
        <w:t>D.3</w:t>
      </w:r>
      <w:r w:rsidR="00C76A61">
        <w:rPr>
          <w:sz w:val="22"/>
          <w:szCs w:val="22"/>
          <w:highlight w:val="yellow"/>
          <w:u w:val="double"/>
        </w:rPr>
        <w:t xml:space="preserve"> </w:t>
      </w:r>
      <w:r w:rsidRPr="00F344EF">
        <w:rPr>
          <w:sz w:val="22"/>
          <w:szCs w:val="22"/>
          <w:highlight w:val="yellow"/>
          <w:u w:val="double"/>
        </w:rPr>
        <w:t>of this section, combined with the efficient combustion design and operation of each gas turbine represents the Best Available Control Technology (BACT) determination for PM/PM</w:t>
      </w:r>
      <w:r w:rsidRPr="00F344EF">
        <w:rPr>
          <w:sz w:val="22"/>
          <w:szCs w:val="22"/>
          <w:highlight w:val="yellow"/>
          <w:u w:val="double"/>
          <w:vertAlign w:val="subscript"/>
        </w:rPr>
        <w:t>10</w:t>
      </w:r>
      <w:r w:rsidRPr="00F344EF">
        <w:rPr>
          <w:sz w:val="22"/>
          <w:szCs w:val="22"/>
          <w:highlight w:val="yellow"/>
          <w:u w:val="double"/>
        </w:rPr>
        <w:t xml:space="preserve"> emissions.  Compliance with the fuel specifications, CO standards and visible emissions standards shall serve as indicators of good combustion.  Compliance with the fuel specifications shall be demonstrated by keeping records of the fuel sulfur content.  Compliance with the visible emissions standard shall be demonstrated by conducting tests in accordance with EPA Method 9.  </w:t>
      </w:r>
      <w:r w:rsidRPr="00F344EF">
        <w:rPr>
          <w:i/>
          <w:iCs/>
          <w:sz w:val="22"/>
          <w:szCs w:val="22"/>
          <w:highlight w:val="yellow"/>
          <w:u w:val="double"/>
        </w:rPr>
        <w:t>{Permitting Note:  PM</w:t>
      </w:r>
      <w:r w:rsidRPr="00F344EF">
        <w:rPr>
          <w:i/>
          <w:iCs/>
          <w:sz w:val="22"/>
          <w:szCs w:val="22"/>
          <w:highlight w:val="yellow"/>
          <w:u w:val="double"/>
          <w:vertAlign w:val="subscript"/>
        </w:rPr>
        <w:t>10</w:t>
      </w:r>
      <w:r w:rsidRPr="00F344EF">
        <w:rPr>
          <w:i/>
          <w:iCs/>
          <w:sz w:val="22"/>
          <w:szCs w:val="22"/>
          <w:highlight w:val="yellow"/>
          <w:u w:val="double"/>
        </w:rPr>
        <w:t xml:space="preserve"> emissions for gas firing are estimated at 11 lb/hour for combined cycle operation and 17 lb/hour for combined cycle operation with duct burning.  PM</w:t>
      </w:r>
      <w:r w:rsidRPr="00F344EF">
        <w:rPr>
          <w:i/>
          <w:iCs/>
          <w:sz w:val="22"/>
          <w:szCs w:val="22"/>
          <w:highlight w:val="yellow"/>
          <w:u w:val="double"/>
          <w:vertAlign w:val="subscript"/>
        </w:rPr>
        <w:t>10</w:t>
      </w:r>
      <w:r w:rsidRPr="00F344EF">
        <w:rPr>
          <w:i/>
          <w:iCs/>
          <w:sz w:val="22"/>
          <w:szCs w:val="22"/>
          <w:highlight w:val="yellow"/>
          <w:u w:val="double"/>
        </w:rPr>
        <w:t xml:space="preserve"> emissions for oil firing are estimated at 37 lb/hour for combined cycle operation.}</w:t>
      </w:r>
      <w:bookmarkEnd w:id="54"/>
      <w:r w:rsidRPr="00F344EF">
        <w:rPr>
          <w:i/>
          <w:iCs/>
          <w:sz w:val="22"/>
          <w:szCs w:val="22"/>
          <w:highlight w:val="yellow"/>
          <w:u w:val="double"/>
        </w:rPr>
        <w:t xml:space="preserve">  </w:t>
      </w:r>
      <w:r w:rsidRPr="00F344EF">
        <w:rPr>
          <w:iCs/>
          <w:sz w:val="22"/>
          <w:szCs w:val="22"/>
          <w:highlight w:val="yellow"/>
          <w:u w:val="double"/>
        </w:rPr>
        <w:t>[Rule 62-212.400(BACT), F.A.C.; and, Permit No. 0850001-010-AC/PSD-FL-327]</w:t>
      </w:r>
    </w:p>
    <w:p w:rsidR="008524F6" w:rsidRPr="008524F6" w:rsidRDefault="00F344EF" w:rsidP="00A237FB">
      <w:pPr>
        <w:numPr>
          <w:ilvl w:val="0"/>
          <w:numId w:val="69"/>
        </w:numPr>
        <w:tabs>
          <w:tab w:val="left" w:pos="1080"/>
        </w:tabs>
        <w:spacing w:before="120"/>
        <w:ind w:left="720"/>
        <w:rPr>
          <w:sz w:val="22"/>
          <w:szCs w:val="22"/>
          <w:u w:val="double"/>
        </w:rPr>
      </w:pPr>
      <w:r w:rsidRPr="00F344EF">
        <w:rPr>
          <w:sz w:val="22"/>
          <w:szCs w:val="22"/>
          <w:highlight w:val="yellow"/>
          <w:u w:val="double"/>
        </w:rPr>
        <w:t>SAM/SO</w:t>
      </w:r>
      <w:r w:rsidRPr="00F344EF">
        <w:rPr>
          <w:sz w:val="22"/>
          <w:szCs w:val="22"/>
          <w:highlight w:val="yellow"/>
          <w:u w:val="double"/>
          <w:vertAlign w:val="subscript"/>
        </w:rPr>
        <w:t>2</w:t>
      </w:r>
      <w:r w:rsidRPr="00F344EF">
        <w:rPr>
          <w:sz w:val="22"/>
          <w:szCs w:val="22"/>
          <w:highlight w:val="yellow"/>
          <w:u w:val="double"/>
        </w:rPr>
        <w:t xml:space="preserve"> Emissions Standards.  </w:t>
      </w:r>
      <w:bookmarkStart w:id="56" w:name="_Hlk504134619"/>
      <w:r w:rsidRPr="00F344EF">
        <w:rPr>
          <w:sz w:val="22"/>
          <w:szCs w:val="22"/>
          <w:highlight w:val="yellow"/>
          <w:u w:val="double"/>
        </w:rPr>
        <w:t xml:space="preserve">The fuel sulfur specifications in Specific Condition </w:t>
      </w:r>
      <w:r w:rsidRPr="00F344EF">
        <w:rPr>
          <w:b/>
          <w:sz w:val="22"/>
          <w:szCs w:val="22"/>
          <w:highlight w:val="yellow"/>
          <w:u w:val="double"/>
        </w:rPr>
        <w:t>D.3</w:t>
      </w:r>
      <w:r w:rsidRPr="00F344EF">
        <w:rPr>
          <w:sz w:val="22"/>
          <w:szCs w:val="22"/>
          <w:highlight w:val="yellow"/>
          <w:u w:val="double"/>
        </w:rPr>
        <w:t xml:space="preserve"> of this section effectively limit the potential emissions of SAM and SO</w:t>
      </w:r>
      <w:r w:rsidRPr="00F344EF">
        <w:rPr>
          <w:sz w:val="22"/>
          <w:szCs w:val="22"/>
          <w:highlight w:val="yellow"/>
          <w:u w:val="double"/>
          <w:vertAlign w:val="subscript"/>
        </w:rPr>
        <w:t>2</w:t>
      </w:r>
      <w:r w:rsidRPr="00F344EF">
        <w:rPr>
          <w:sz w:val="22"/>
          <w:szCs w:val="22"/>
          <w:highlight w:val="yellow"/>
          <w:u w:val="double"/>
        </w:rPr>
        <w:t xml:space="preserve"> from the gas turbines and represent the BACT determination for these pollutants.  Compliance with the fuel sulfur specifications shall be determined by the requirements in Specific Condition </w:t>
      </w:r>
      <w:bookmarkStart w:id="57" w:name="_Hlk505684225"/>
      <w:r w:rsidRPr="00F344EF">
        <w:rPr>
          <w:sz w:val="22"/>
          <w:szCs w:val="22"/>
          <w:highlight w:val="yellow"/>
          <w:u w:val="double"/>
        </w:rPr>
        <w:t xml:space="preserve"> </w:t>
      </w:r>
      <w:r w:rsidRPr="00F344EF">
        <w:rPr>
          <w:b/>
          <w:sz w:val="22"/>
          <w:szCs w:val="22"/>
          <w:highlight w:val="yellow"/>
          <w:u w:val="double"/>
        </w:rPr>
        <w:t>D.41</w:t>
      </w:r>
      <w:r w:rsidRPr="00F344EF">
        <w:rPr>
          <w:sz w:val="22"/>
          <w:szCs w:val="22"/>
          <w:highlight w:val="yellow"/>
          <w:u w:val="double"/>
        </w:rPr>
        <w:t>.</w:t>
      </w:r>
      <w:bookmarkEnd w:id="57"/>
      <w:r w:rsidRPr="00F344EF">
        <w:rPr>
          <w:sz w:val="22"/>
          <w:szCs w:val="22"/>
          <w:highlight w:val="yellow"/>
          <w:u w:val="double"/>
        </w:rPr>
        <w:t xml:space="preserve">  </w:t>
      </w:r>
      <w:r w:rsidRPr="00F344EF">
        <w:rPr>
          <w:i/>
          <w:sz w:val="22"/>
          <w:szCs w:val="22"/>
          <w:highlight w:val="yellow"/>
          <w:u w:val="double"/>
        </w:rPr>
        <w:t>{Permitting Note:  SO</w:t>
      </w:r>
      <w:r w:rsidRPr="00F344EF">
        <w:rPr>
          <w:i/>
          <w:sz w:val="22"/>
          <w:szCs w:val="22"/>
          <w:highlight w:val="yellow"/>
          <w:u w:val="double"/>
          <w:vertAlign w:val="subscript"/>
        </w:rPr>
        <w:t>2</w:t>
      </w:r>
      <w:r w:rsidRPr="00F344EF">
        <w:rPr>
          <w:i/>
          <w:sz w:val="22"/>
          <w:szCs w:val="22"/>
          <w:highlight w:val="yellow"/>
          <w:u w:val="double"/>
        </w:rPr>
        <w:t xml:space="preserve"> emissions for gas firing are estimated at 9.8 lb/hour for combined cycle operation and 12.8 lb/hour for combined cycle operation with duct burning.  SO</w:t>
      </w:r>
      <w:r w:rsidRPr="00F344EF">
        <w:rPr>
          <w:i/>
          <w:sz w:val="22"/>
          <w:szCs w:val="22"/>
          <w:highlight w:val="yellow"/>
          <w:u w:val="double"/>
          <w:vertAlign w:val="subscript"/>
        </w:rPr>
        <w:t>2</w:t>
      </w:r>
      <w:r w:rsidRPr="00F344EF">
        <w:rPr>
          <w:i/>
          <w:sz w:val="22"/>
          <w:szCs w:val="22"/>
          <w:highlight w:val="yellow"/>
          <w:u w:val="double"/>
        </w:rPr>
        <w:t xml:space="preserve"> emissions for oil firing are estimated at 99 lb/hour for combined cycle operation.  SAM emissions are estimated to be less than 10% of the SO</w:t>
      </w:r>
      <w:r w:rsidRPr="00F344EF">
        <w:rPr>
          <w:i/>
          <w:sz w:val="22"/>
          <w:szCs w:val="22"/>
          <w:highlight w:val="yellow"/>
          <w:u w:val="double"/>
          <w:vertAlign w:val="subscript"/>
        </w:rPr>
        <w:t>2</w:t>
      </w:r>
      <w:r w:rsidRPr="00F344EF">
        <w:rPr>
          <w:i/>
          <w:sz w:val="22"/>
          <w:szCs w:val="22"/>
          <w:highlight w:val="yellow"/>
          <w:u w:val="double"/>
        </w:rPr>
        <w:t xml:space="preserve"> emissions</w:t>
      </w:r>
      <w:r w:rsidRPr="00F344EF">
        <w:rPr>
          <w:sz w:val="22"/>
          <w:szCs w:val="22"/>
          <w:highlight w:val="yellow"/>
          <w:u w:val="double"/>
        </w:rPr>
        <w:t>.}</w:t>
      </w:r>
      <w:bookmarkEnd w:id="56"/>
      <w:r w:rsidRPr="00F344EF">
        <w:rPr>
          <w:sz w:val="22"/>
          <w:szCs w:val="22"/>
          <w:highlight w:val="yellow"/>
          <w:u w:val="double"/>
        </w:rPr>
        <w:t xml:space="preserve">  [Rule 62-212.400(BACT), F.A.C.; and, Permit No. 0850001-010-AC/PSD-FL-327]</w:t>
      </w:r>
    </w:p>
    <w:p w:rsidR="007E227F" w:rsidRPr="00F344EF" w:rsidRDefault="00F344EF" w:rsidP="00A237FB">
      <w:pPr>
        <w:numPr>
          <w:ilvl w:val="0"/>
          <w:numId w:val="69"/>
        </w:numPr>
        <w:tabs>
          <w:tab w:val="left" w:pos="1080"/>
        </w:tabs>
        <w:spacing w:before="120" w:after="120"/>
        <w:ind w:left="720"/>
        <w:rPr>
          <w:sz w:val="22"/>
          <w:szCs w:val="22"/>
          <w:highlight w:val="yellow"/>
        </w:rPr>
      </w:pPr>
      <w:r w:rsidRPr="00F344EF">
        <w:rPr>
          <w:sz w:val="22"/>
          <w:szCs w:val="22"/>
          <w:highlight w:val="yellow"/>
          <w:u w:val="double"/>
        </w:rPr>
        <w:t>SO</w:t>
      </w:r>
      <w:r w:rsidRPr="00F344EF">
        <w:rPr>
          <w:sz w:val="22"/>
          <w:szCs w:val="22"/>
          <w:highlight w:val="yellow"/>
          <w:u w:val="double"/>
          <w:vertAlign w:val="subscript"/>
        </w:rPr>
        <w:t>2</w:t>
      </w:r>
      <w:r w:rsidRPr="00F344EF">
        <w:rPr>
          <w:sz w:val="22"/>
          <w:szCs w:val="22"/>
          <w:highlight w:val="yellow"/>
          <w:u w:val="double"/>
        </w:rPr>
        <w:t xml:space="preserve"> Emissions Limits – NSPS Subpart KKKK.  The permittee must not burn in each CT any fuel which contains total potential sulfur emissions in excess of 26 ng SO</w:t>
      </w:r>
      <w:r w:rsidRPr="00F344EF">
        <w:rPr>
          <w:sz w:val="22"/>
          <w:szCs w:val="22"/>
          <w:highlight w:val="yellow"/>
          <w:u w:val="double"/>
          <w:vertAlign w:val="subscript"/>
        </w:rPr>
        <w:t>2</w:t>
      </w:r>
      <w:r w:rsidRPr="00F344EF">
        <w:rPr>
          <w:sz w:val="22"/>
          <w:szCs w:val="22"/>
          <w:highlight w:val="yellow"/>
          <w:u w:val="double"/>
        </w:rPr>
        <w:t>/J (0.060 lb SO</w:t>
      </w:r>
      <w:r w:rsidRPr="00F344EF">
        <w:rPr>
          <w:sz w:val="22"/>
          <w:szCs w:val="22"/>
          <w:highlight w:val="yellow"/>
          <w:u w:val="double"/>
          <w:vertAlign w:val="subscript"/>
        </w:rPr>
        <w:t>2</w:t>
      </w:r>
      <w:r w:rsidRPr="00F344EF">
        <w:rPr>
          <w:sz w:val="22"/>
          <w:szCs w:val="22"/>
          <w:highlight w:val="yellow"/>
          <w:u w:val="double"/>
        </w:rPr>
        <w:t>/MMBtu) heat input.  If the CT simultaneously fires multiple fuels, each fuel must meet this requirement.  [Rule 62-204.800(8)(b)82., F.A.C.; and, 40 CFR 60.4330(a)(2)]</w:t>
      </w:r>
    </w:p>
    <w:p w:rsidR="00F344EF" w:rsidRPr="00F344EF" w:rsidRDefault="00F344EF" w:rsidP="00A237FB">
      <w:pPr>
        <w:numPr>
          <w:ilvl w:val="0"/>
          <w:numId w:val="69"/>
        </w:numPr>
        <w:tabs>
          <w:tab w:val="left" w:pos="1080"/>
        </w:tabs>
        <w:spacing w:before="120"/>
        <w:ind w:left="720"/>
        <w:rPr>
          <w:sz w:val="22"/>
          <w:szCs w:val="22"/>
          <w:highlight w:val="yellow"/>
          <w:u w:val="double"/>
        </w:rPr>
      </w:pPr>
      <w:r w:rsidRPr="00F344EF">
        <w:rPr>
          <w:sz w:val="22"/>
          <w:szCs w:val="22"/>
          <w:highlight w:val="yellow"/>
          <w:u w:val="double"/>
        </w:rPr>
        <w:t>Visible Emissions.  VE from each CT shall not exceed the following limits:</w:t>
      </w:r>
    </w:p>
    <w:p w:rsidR="00F344EF" w:rsidRPr="00F344EF" w:rsidRDefault="00F344EF" w:rsidP="00A237FB">
      <w:pPr>
        <w:numPr>
          <w:ilvl w:val="0"/>
          <w:numId w:val="82"/>
        </w:numPr>
        <w:rPr>
          <w:sz w:val="22"/>
          <w:szCs w:val="22"/>
          <w:highlight w:val="yellow"/>
          <w:u w:val="double"/>
        </w:rPr>
      </w:pPr>
      <w:r w:rsidRPr="00F344EF">
        <w:rPr>
          <w:i/>
          <w:sz w:val="22"/>
          <w:szCs w:val="22"/>
          <w:highlight w:val="yellow"/>
          <w:u w:val="double"/>
        </w:rPr>
        <w:t>Combined Cycle Operation While Firing All Fuels.</w:t>
      </w:r>
      <w:r w:rsidRPr="00F344EF">
        <w:rPr>
          <w:sz w:val="22"/>
          <w:szCs w:val="22"/>
          <w:highlight w:val="yellow"/>
          <w:u w:val="double"/>
        </w:rPr>
        <w:t xml:space="preserve">  10% opacity for each 6-minute block average; and</w:t>
      </w:r>
    </w:p>
    <w:p w:rsidR="00F344EF" w:rsidRPr="00F344EF" w:rsidRDefault="00F344EF" w:rsidP="00A237FB">
      <w:pPr>
        <w:numPr>
          <w:ilvl w:val="0"/>
          <w:numId w:val="82"/>
        </w:numPr>
        <w:rPr>
          <w:sz w:val="22"/>
          <w:szCs w:val="22"/>
          <w:highlight w:val="yellow"/>
          <w:u w:val="double"/>
        </w:rPr>
      </w:pPr>
      <w:r w:rsidRPr="00F344EF">
        <w:rPr>
          <w:i/>
          <w:sz w:val="22"/>
          <w:szCs w:val="22"/>
          <w:highlight w:val="yellow"/>
          <w:u w:val="double"/>
        </w:rPr>
        <w:t>Startup, Shutdown and Malfunction.</w:t>
      </w:r>
      <w:r w:rsidRPr="00F344EF">
        <w:rPr>
          <w:sz w:val="22"/>
          <w:szCs w:val="22"/>
          <w:highlight w:val="yellow"/>
          <w:u w:val="double"/>
        </w:rPr>
        <w:t xml:space="preserve">  10% opacity except for up to ten, 6-minute averaging periods during a calendar day, which shall not exceed 20% opacity.</w:t>
      </w:r>
    </w:p>
    <w:p w:rsidR="00F344EF" w:rsidRDefault="00F344EF" w:rsidP="00F344EF">
      <w:pPr>
        <w:tabs>
          <w:tab w:val="left" w:pos="1080"/>
        </w:tabs>
        <w:spacing w:after="120"/>
        <w:ind w:left="720"/>
        <w:rPr>
          <w:sz w:val="22"/>
          <w:szCs w:val="22"/>
          <w:highlight w:val="yellow"/>
          <w:u w:val="double"/>
        </w:rPr>
      </w:pPr>
      <w:r w:rsidRPr="00F344EF">
        <w:rPr>
          <w:sz w:val="22"/>
          <w:szCs w:val="22"/>
          <w:highlight w:val="yellow"/>
          <w:u w:val="double"/>
        </w:rPr>
        <w:t>[Rule 62-212.400(BACT), F.A.C.; and, Permit No. 0850001-010-AC/PSD-FL-327]</w:t>
      </w:r>
    </w:p>
    <w:p w:rsidR="00F344EF" w:rsidRPr="00F344EF" w:rsidRDefault="00F344EF" w:rsidP="00A237FB">
      <w:pPr>
        <w:numPr>
          <w:ilvl w:val="0"/>
          <w:numId w:val="69"/>
        </w:numPr>
        <w:tabs>
          <w:tab w:val="left" w:pos="1080"/>
        </w:tabs>
        <w:spacing w:before="120"/>
        <w:ind w:left="720"/>
        <w:rPr>
          <w:sz w:val="22"/>
          <w:szCs w:val="22"/>
          <w:highlight w:val="yellow"/>
          <w:u w:val="double"/>
        </w:rPr>
      </w:pPr>
      <w:bookmarkStart w:id="58" w:name="_Ref512947758"/>
      <w:r w:rsidRPr="00F344EF">
        <w:rPr>
          <w:sz w:val="22"/>
          <w:szCs w:val="22"/>
          <w:highlight w:val="yellow"/>
          <w:u w:val="double"/>
        </w:rPr>
        <w:t>VOC Emissions.  As determined by stack test (3-run average), VOC emissions from each CT shall not exceed the following standards:</w:t>
      </w:r>
      <w:bookmarkEnd w:id="58"/>
    </w:p>
    <w:p w:rsidR="00F344EF" w:rsidRPr="00F344EF" w:rsidRDefault="00F344EF" w:rsidP="00A237FB">
      <w:pPr>
        <w:numPr>
          <w:ilvl w:val="0"/>
          <w:numId w:val="83"/>
        </w:numPr>
        <w:rPr>
          <w:sz w:val="22"/>
          <w:szCs w:val="22"/>
          <w:highlight w:val="yellow"/>
          <w:u w:val="double"/>
        </w:rPr>
      </w:pPr>
      <w:r w:rsidRPr="00F344EF">
        <w:rPr>
          <w:i/>
          <w:sz w:val="22"/>
          <w:szCs w:val="22"/>
          <w:highlight w:val="yellow"/>
          <w:u w:val="double"/>
        </w:rPr>
        <w:t>Natural Gas.</w:t>
      </w:r>
    </w:p>
    <w:p w:rsidR="00F344EF" w:rsidRPr="00F344EF" w:rsidRDefault="00F344EF" w:rsidP="00A237FB">
      <w:pPr>
        <w:numPr>
          <w:ilvl w:val="0"/>
          <w:numId w:val="84"/>
        </w:numPr>
        <w:rPr>
          <w:sz w:val="22"/>
          <w:szCs w:val="22"/>
          <w:highlight w:val="yellow"/>
          <w:u w:val="double"/>
        </w:rPr>
      </w:pPr>
      <w:r w:rsidRPr="00F344EF">
        <w:rPr>
          <w:i/>
          <w:sz w:val="22"/>
          <w:szCs w:val="22"/>
          <w:highlight w:val="yellow"/>
          <w:u w:val="double"/>
        </w:rPr>
        <w:t>Normal Combined Cycle Operation</w:t>
      </w:r>
      <w:r w:rsidRPr="00F344EF">
        <w:rPr>
          <w:sz w:val="22"/>
          <w:szCs w:val="22"/>
          <w:highlight w:val="yellow"/>
          <w:u w:val="double"/>
        </w:rPr>
        <w:t>.</w:t>
      </w:r>
    </w:p>
    <w:p w:rsidR="00F344EF" w:rsidRPr="00F344EF" w:rsidRDefault="00F344EF" w:rsidP="00A237FB">
      <w:pPr>
        <w:numPr>
          <w:ilvl w:val="0"/>
          <w:numId w:val="85"/>
        </w:numPr>
        <w:rPr>
          <w:sz w:val="22"/>
          <w:szCs w:val="22"/>
          <w:highlight w:val="yellow"/>
          <w:u w:val="double"/>
        </w:rPr>
      </w:pPr>
      <w:r w:rsidRPr="00F344EF">
        <w:rPr>
          <w:sz w:val="22"/>
          <w:szCs w:val="22"/>
          <w:highlight w:val="yellow"/>
          <w:u w:val="double"/>
        </w:rPr>
        <w:t>1.3 ppmvd at 15% O</w:t>
      </w:r>
      <w:r w:rsidRPr="00F344EF">
        <w:rPr>
          <w:sz w:val="22"/>
          <w:szCs w:val="22"/>
          <w:highlight w:val="yellow"/>
          <w:u w:val="double"/>
          <w:vertAlign w:val="subscript"/>
        </w:rPr>
        <w:t>2</w:t>
      </w:r>
      <w:r w:rsidRPr="00F344EF">
        <w:rPr>
          <w:sz w:val="22"/>
          <w:szCs w:val="22"/>
          <w:highlight w:val="yellow"/>
          <w:u w:val="double"/>
        </w:rPr>
        <w:t>; and</w:t>
      </w:r>
    </w:p>
    <w:p w:rsidR="00F344EF" w:rsidRPr="00F344EF" w:rsidRDefault="00F344EF" w:rsidP="00A237FB">
      <w:pPr>
        <w:numPr>
          <w:ilvl w:val="0"/>
          <w:numId w:val="85"/>
        </w:numPr>
        <w:rPr>
          <w:sz w:val="22"/>
          <w:szCs w:val="22"/>
          <w:highlight w:val="yellow"/>
          <w:u w:val="double"/>
        </w:rPr>
      </w:pPr>
      <w:r w:rsidRPr="00F344EF">
        <w:rPr>
          <w:sz w:val="22"/>
          <w:szCs w:val="22"/>
          <w:highlight w:val="yellow"/>
          <w:u w:val="double"/>
        </w:rPr>
        <w:t>2.8 lb/hr.</w:t>
      </w:r>
    </w:p>
    <w:p w:rsidR="00F344EF" w:rsidRPr="00F344EF" w:rsidRDefault="00F344EF" w:rsidP="00A237FB">
      <w:pPr>
        <w:numPr>
          <w:ilvl w:val="0"/>
          <w:numId w:val="84"/>
        </w:numPr>
        <w:rPr>
          <w:sz w:val="22"/>
          <w:szCs w:val="22"/>
          <w:highlight w:val="yellow"/>
          <w:u w:val="double"/>
        </w:rPr>
      </w:pPr>
      <w:r w:rsidRPr="00F344EF">
        <w:rPr>
          <w:i/>
          <w:sz w:val="22"/>
          <w:szCs w:val="22"/>
          <w:highlight w:val="yellow"/>
          <w:u w:val="double"/>
        </w:rPr>
        <w:t>Combined Cycle Operation with DB and/or PA.</w:t>
      </w:r>
    </w:p>
    <w:p w:rsidR="00F344EF" w:rsidRPr="00F344EF" w:rsidRDefault="00F344EF" w:rsidP="00A237FB">
      <w:pPr>
        <w:numPr>
          <w:ilvl w:val="0"/>
          <w:numId w:val="86"/>
        </w:numPr>
        <w:rPr>
          <w:sz w:val="22"/>
          <w:szCs w:val="22"/>
          <w:highlight w:val="yellow"/>
          <w:u w:val="double"/>
        </w:rPr>
      </w:pPr>
      <w:r w:rsidRPr="00F344EF">
        <w:rPr>
          <w:sz w:val="22"/>
          <w:szCs w:val="22"/>
          <w:highlight w:val="yellow"/>
          <w:u w:val="double"/>
        </w:rPr>
        <w:t>4.0 ppmvd at 15% O</w:t>
      </w:r>
      <w:r w:rsidRPr="00F344EF">
        <w:rPr>
          <w:sz w:val="22"/>
          <w:szCs w:val="22"/>
          <w:highlight w:val="yellow"/>
          <w:u w:val="double"/>
          <w:vertAlign w:val="subscript"/>
        </w:rPr>
        <w:t>2</w:t>
      </w:r>
      <w:r w:rsidRPr="00F344EF">
        <w:rPr>
          <w:sz w:val="22"/>
          <w:szCs w:val="22"/>
          <w:highlight w:val="yellow"/>
          <w:u w:val="double"/>
        </w:rPr>
        <w:t>; and</w:t>
      </w:r>
    </w:p>
    <w:p w:rsidR="00F344EF" w:rsidRPr="00F344EF" w:rsidRDefault="00F344EF" w:rsidP="00A237FB">
      <w:pPr>
        <w:numPr>
          <w:ilvl w:val="0"/>
          <w:numId w:val="86"/>
        </w:numPr>
        <w:rPr>
          <w:sz w:val="22"/>
          <w:szCs w:val="22"/>
          <w:highlight w:val="yellow"/>
          <w:u w:val="double"/>
        </w:rPr>
      </w:pPr>
      <w:r w:rsidRPr="00F344EF">
        <w:rPr>
          <w:sz w:val="22"/>
          <w:szCs w:val="22"/>
          <w:highlight w:val="yellow"/>
          <w:u w:val="double"/>
        </w:rPr>
        <w:t>10.5 lb/hr</w:t>
      </w:r>
    </w:p>
    <w:p w:rsidR="00F344EF" w:rsidRPr="00F344EF" w:rsidRDefault="00F344EF" w:rsidP="00A237FB">
      <w:pPr>
        <w:numPr>
          <w:ilvl w:val="0"/>
          <w:numId w:val="83"/>
        </w:numPr>
        <w:rPr>
          <w:sz w:val="22"/>
          <w:szCs w:val="22"/>
          <w:highlight w:val="yellow"/>
          <w:u w:val="double"/>
        </w:rPr>
      </w:pPr>
      <w:r w:rsidRPr="00F344EF">
        <w:rPr>
          <w:i/>
          <w:sz w:val="22"/>
          <w:szCs w:val="22"/>
          <w:highlight w:val="yellow"/>
          <w:u w:val="double"/>
        </w:rPr>
        <w:t>Fuel Oil and Combined Cycle Operation.</w:t>
      </w:r>
    </w:p>
    <w:p w:rsidR="00F344EF" w:rsidRPr="00F344EF" w:rsidRDefault="00F344EF" w:rsidP="00A237FB">
      <w:pPr>
        <w:numPr>
          <w:ilvl w:val="0"/>
          <w:numId w:val="87"/>
        </w:numPr>
        <w:rPr>
          <w:sz w:val="22"/>
          <w:szCs w:val="22"/>
          <w:highlight w:val="yellow"/>
          <w:u w:val="double"/>
        </w:rPr>
      </w:pPr>
      <w:r w:rsidRPr="00F344EF">
        <w:rPr>
          <w:sz w:val="22"/>
          <w:szCs w:val="22"/>
          <w:highlight w:val="yellow"/>
          <w:u w:val="double"/>
        </w:rPr>
        <w:t>2.5 ppmvd at 15% O</w:t>
      </w:r>
      <w:r w:rsidRPr="00F344EF">
        <w:rPr>
          <w:sz w:val="22"/>
          <w:szCs w:val="22"/>
          <w:highlight w:val="yellow"/>
          <w:u w:val="double"/>
          <w:vertAlign w:val="subscript"/>
        </w:rPr>
        <w:t>2</w:t>
      </w:r>
      <w:r w:rsidRPr="00F344EF">
        <w:rPr>
          <w:sz w:val="22"/>
          <w:szCs w:val="22"/>
          <w:highlight w:val="yellow"/>
          <w:u w:val="double"/>
        </w:rPr>
        <w:t>; and</w:t>
      </w:r>
    </w:p>
    <w:p w:rsidR="00F344EF" w:rsidRPr="00F344EF" w:rsidRDefault="00F344EF" w:rsidP="00A237FB">
      <w:pPr>
        <w:numPr>
          <w:ilvl w:val="0"/>
          <w:numId w:val="87"/>
        </w:numPr>
        <w:rPr>
          <w:sz w:val="22"/>
          <w:szCs w:val="22"/>
          <w:highlight w:val="yellow"/>
          <w:u w:val="double"/>
        </w:rPr>
      </w:pPr>
      <w:r w:rsidRPr="00F344EF">
        <w:rPr>
          <w:sz w:val="22"/>
          <w:szCs w:val="22"/>
          <w:highlight w:val="yellow"/>
          <w:u w:val="double"/>
        </w:rPr>
        <w:t>6.0 lb/hr.</w:t>
      </w:r>
    </w:p>
    <w:p w:rsidR="00F344EF" w:rsidRPr="00F344EF" w:rsidRDefault="00F344EF" w:rsidP="00F344EF">
      <w:pPr>
        <w:spacing w:after="120"/>
        <w:ind w:left="720"/>
        <w:rPr>
          <w:sz w:val="22"/>
          <w:szCs w:val="22"/>
          <w:u w:val="double"/>
        </w:rPr>
      </w:pPr>
      <w:bookmarkStart w:id="59" w:name="_Hlk504134642"/>
      <w:r w:rsidRPr="00F344EF">
        <w:rPr>
          <w:sz w:val="22"/>
          <w:szCs w:val="22"/>
          <w:highlight w:val="yellow"/>
          <w:u w:val="double"/>
        </w:rPr>
        <w:t>Compliance with the VOC standards shall be demonstrated by conducting tests in accordance with EPA Method 25A.  Optionally, EPA Method 18 may also be performed to deduct emissions of methane and ethane.  The emission standards are based on VOC measured as methane.</w:t>
      </w:r>
      <w:bookmarkEnd w:id="59"/>
      <w:r w:rsidRPr="00F344EF">
        <w:rPr>
          <w:sz w:val="22"/>
          <w:szCs w:val="22"/>
          <w:highlight w:val="yellow"/>
          <w:u w:val="double"/>
        </w:rPr>
        <w:t xml:space="preserve">  [Rule 62-212.400(BACT), F.A.C.; and, Permit No. 0850001-010-AC/PSD-FL-327]</w:t>
      </w:r>
    </w:p>
    <w:p w:rsidR="00F344EF" w:rsidRDefault="00F344EF" w:rsidP="00A237FB">
      <w:pPr>
        <w:numPr>
          <w:ilvl w:val="0"/>
          <w:numId w:val="69"/>
        </w:numPr>
        <w:tabs>
          <w:tab w:val="left" w:pos="1080"/>
        </w:tabs>
        <w:spacing w:before="120" w:after="120"/>
        <w:ind w:left="720"/>
        <w:rPr>
          <w:sz w:val="22"/>
          <w:szCs w:val="22"/>
          <w:highlight w:val="yellow"/>
          <w:u w:val="double"/>
        </w:rPr>
      </w:pPr>
      <w:bookmarkStart w:id="60" w:name="_Ref520451523"/>
      <w:r w:rsidRPr="00F344EF">
        <w:rPr>
          <w:sz w:val="22"/>
          <w:szCs w:val="22"/>
          <w:highlight w:val="yellow"/>
          <w:u w:val="double"/>
        </w:rPr>
        <w:t>Ammonia Slip.  Subject to the requirements of Specific Condition</w:t>
      </w:r>
      <w:bookmarkStart w:id="61" w:name="_Hlk505684275"/>
      <w:r w:rsidRPr="00F344EF">
        <w:rPr>
          <w:sz w:val="22"/>
          <w:szCs w:val="22"/>
          <w:highlight w:val="yellow"/>
          <w:u w:val="double"/>
        </w:rPr>
        <w:t xml:space="preserve"> </w:t>
      </w:r>
      <w:bookmarkEnd w:id="61"/>
      <w:r>
        <w:rPr>
          <w:b/>
          <w:sz w:val="22"/>
          <w:szCs w:val="22"/>
          <w:highlight w:val="yellow"/>
          <w:u w:val="double"/>
        </w:rPr>
        <w:t>D.37</w:t>
      </w:r>
      <w:r w:rsidRPr="00F344EF">
        <w:rPr>
          <w:sz w:val="22"/>
          <w:szCs w:val="22"/>
          <w:highlight w:val="yellow"/>
          <w:u w:val="double"/>
        </w:rPr>
        <w:t xml:space="preserve"> of this section, each SCR system shall be designed and operated for an ammonia slip target of less than 5 ppmvd corrected to 15% oxygen based on the average of three test runs.  Compliance with the ammonia slip standard shall be demonstrated by conducting tests in accordance with EPA Method CTC-027.  [Rule 62-212.400(BACT), F.A.C.; and, Permit No. 0850001-010-AC/PSD-FL-327]</w:t>
      </w:r>
      <w:bookmarkEnd w:id="60"/>
    </w:p>
    <w:p w:rsidR="00F344EF" w:rsidRDefault="00F344EF" w:rsidP="00F344EF">
      <w:pPr>
        <w:pStyle w:val="ListParagraph"/>
        <w:numPr>
          <w:ilvl w:val="0"/>
          <w:numId w:val="1"/>
        </w:numPr>
        <w:tabs>
          <w:tab w:val="left" w:pos="360"/>
        </w:tabs>
        <w:spacing w:after="120"/>
        <w:contextualSpacing w:val="0"/>
        <w:rPr>
          <w:sz w:val="22"/>
          <w:szCs w:val="22"/>
        </w:rPr>
      </w:pPr>
      <w:r>
        <w:rPr>
          <w:sz w:val="22"/>
          <w:szCs w:val="22"/>
        </w:rPr>
        <w:t xml:space="preserve">Specific Condition </w:t>
      </w:r>
      <w:r>
        <w:rPr>
          <w:b/>
          <w:sz w:val="22"/>
          <w:szCs w:val="22"/>
        </w:rPr>
        <w:t>D.19</w:t>
      </w:r>
      <w:r>
        <w:rPr>
          <w:sz w:val="22"/>
          <w:szCs w:val="22"/>
        </w:rPr>
        <w:t xml:space="preserve"> </w:t>
      </w:r>
      <w:r w:rsidR="00D52E11">
        <w:rPr>
          <w:sz w:val="22"/>
          <w:szCs w:val="22"/>
        </w:rPr>
        <w:t xml:space="preserve">(Rule 62-210.700, F.A.C.) </w:t>
      </w:r>
      <w:r>
        <w:rPr>
          <w:sz w:val="22"/>
          <w:szCs w:val="22"/>
        </w:rPr>
        <w:t>has been added to establish excess emissions provisions for emissions standards that do not utilize a CEMS for compliance</w:t>
      </w:r>
      <w:r w:rsidR="00D52E11">
        <w:rPr>
          <w:sz w:val="22"/>
          <w:szCs w:val="22"/>
        </w:rPr>
        <w:t>.</w:t>
      </w:r>
    </w:p>
    <w:p w:rsidR="00D52E11" w:rsidRDefault="00D52E11" w:rsidP="00F344EF">
      <w:pPr>
        <w:pStyle w:val="ListParagraph"/>
        <w:numPr>
          <w:ilvl w:val="0"/>
          <w:numId w:val="1"/>
        </w:numPr>
        <w:tabs>
          <w:tab w:val="left" w:pos="360"/>
        </w:tabs>
        <w:spacing w:after="120"/>
        <w:contextualSpacing w:val="0"/>
        <w:rPr>
          <w:sz w:val="22"/>
          <w:szCs w:val="22"/>
        </w:rPr>
      </w:pPr>
      <w:r>
        <w:rPr>
          <w:sz w:val="22"/>
          <w:szCs w:val="22"/>
        </w:rPr>
        <w:t xml:space="preserve">To reflect current Title V air operation permit format standards, the alternative VE standards in Specific Condition </w:t>
      </w:r>
      <w:r>
        <w:rPr>
          <w:b/>
          <w:sz w:val="22"/>
          <w:szCs w:val="22"/>
        </w:rPr>
        <w:t>D.22</w:t>
      </w:r>
      <w:r>
        <w:rPr>
          <w:sz w:val="22"/>
          <w:szCs w:val="22"/>
        </w:rPr>
        <w:t xml:space="preserve"> (formerly </w:t>
      </w:r>
      <w:r w:rsidR="00302FB3">
        <w:rPr>
          <w:b/>
          <w:sz w:val="22"/>
          <w:szCs w:val="22"/>
        </w:rPr>
        <w:t>D.11</w:t>
      </w:r>
      <w:r w:rsidR="00302FB3">
        <w:rPr>
          <w:sz w:val="22"/>
          <w:szCs w:val="22"/>
        </w:rPr>
        <w:t xml:space="preserve"> of Permit No. 0850001-040-AV) has been moved to Specific Condition </w:t>
      </w:r>
      <w:r w:rsidR="00302FB3">
        <w:rPr>
          <w:b/>
          <w:sz w:val="22"/>
          <w:szCs w:val="22"/>
        </w:rPr>
        <w:t>D.15</w:t>
      </w:r>
      <w:r w:rsidR="00302FB3">
        <w:rPr>
          <w:sz w:val="22"/>
          <w:szCs w:val="22"/>
        </w:rPr>
        <w:t>.</w:t>
      </w:r>
    </w:p>
    <w:p w:rsidR="00302FB3" w:rsidRDefault="00302FB3" w:rsidP="00F344EF">
      <w:pPr>
        <w:pStyle w:val="ListParagraph"/>
        <w:numPr>
          <w:ilvl w:val="0"/>
          <w:numId w:val="1"/>
        </w:numPr>
        <w:tabs>
          <w:tab w:val="left" w:pos="360"/>
        </w:tabs>
        <w:spacing w:after="120"/>
        <w:contextualSpacing w:val="0"/>
        <w:rPr>
          <w:sz w:val="22"/>
          <w:szCs w:val="22"/>
        </w:rPr>
      </w:pPr>
      <w:r>
        <w:rPr>
          <w:sz w:val="22"/>
          <w:szCs w:val="22"/>
        </w:rPr>
        <w:t xml:space="preserve">Revisions made in Permit No. 0850001-041-AC/PSD-FL-146J and 327G have been incorporated into Specific Condition </w:t>
      </w:r>
      <w:r>
        <w:rPr>
          <w:b/>
          <w:sz w:val="22"/>
          <w:szCs w:val="22"/>
        </w:rPr>
        <w:t>D.23</w:t>
      </w:r>
      <w:r>
        <w:rPr>
          <w:sz w:val="22"/>
          <w:szCs w:val="22"/>
        </w:rPr>
        <w:t xml:space="preserve"> (formerly </w:t>
      </w:r>
      <w:r>
        <w:rPr>
          <w:b/>
          <w:sz w:val="22"/>
          <w:szCs w:val="22"/>
        </w:rPr>
        <w:t>D.12</w:t>
      </w:r>
      <w:r>
        <w:rPr>
          <w:sz w:val="22"/>
          <w:szCs w:val="22"/>
        </w:rPr>
        <w:t xml:space="preserve"> of Permit No. 0850001-040-AV) as follows:</w:t>
      </w:r>
    </w:p>
    <w:p w:rsidR="00302FB3" w:rsidRDefault="00302FB3" w:rsidP="00A237FB">
      <w:pPr>
        <w:numPr>
          <w:ilvl w:val="0"/>
          <w:numId w:val="88"/>
        </w:numPr>
        <w:tabs>
          <w:tab w:val="left" w:pos="1080"/>
        </w:tabs>
        <w:spacing w:before="120"/>
        <w:ind w:left="720"/>
        <w:rPr>
          <w:sz w:val="22"/>
          <w:szCs w:val="22"/>
        </w:rPr>
      </w:pPr>
      <w:bookmarkStart w:id="62" w:name="_Ref503945502"/>
      <w:r w:rsidRPr="00302FB3">
        <w:rPr>
          <w:sz w:val="22"/>
          <w:szCs w:val="22"/>
          <w:u w:val="single"/>
        </w:rPr>
        <w:t>Excess Emissions Allowed</w:t>
      </w:r>
      <w:r w:rsidRPr="00302FB3">
        <w:rPr>
          <w:sz w:val="22"/>
          <w:szCs w:val="22"/>
        </w:rPr>
        <w:t xml:space="preserve">.  </w:t>
      </w:r>
      <w:bookmarkStart w:id="63" w:name="sulfur"/>
      <w:bookmarkStart w:id="64" w:name="DataExclusion"/>
      <w:bookmarkEnd w:id="63"/>
      <w:bookmarkEnd w:id="64"/>
      <w:r w:rsidRPr="00302FB3">
        <w:rPr>
          <w:sz w:val="22"/>
          <w:szCs w:val="22"/>
        </w:rPr>
        <w:t>As specified in this condition, excess emissions resulting from startup, shutdown, fuel switches, and documented malfunctions are allowed provided that operators employ the best operational practices to minimize the amount and duration of emissions during such incidents.  For each gas turbine/HRSG System, excess emissions of NO</w:t>
      </w:r>
      <w:r w:rsidRPr="00302FB3">
        <w:rPr>
          <w:sz w:val="22"/>
          <w:szCs w:val="22"/>
          <w:vertAlign w:val="subscript"/>
        </w:rPr>
        <w:t>X</w:t>
      </w:r>
      <w:r w:rsidRPr="00302FB3">
        <w:rPr>
          <w:sz w:val="22"/>
          <w:szCs w:val="22"/>
        </w:rPr>
        <w:t xml:space="preserve"> and CO </w:t>
      </w:r>
      <w:r w:rsidRPr="00302FB3">
        <w:rPr>
          <w:sz w:val="22"/>
          <w:szCs w:val="22"/>
          <w:highlight w:val="yellow"/>
          <w:u w:val="double"/>
        </w:rPr>
        <w:t>(if the option to use a CO CEMS is chosen)</w:t>
      </w:r>
      <w:r w:rsidRPr="00302FB3">
        <w:rPr>
          <w:sz w:val="22"/>
          <w:szCs w:val="22"/>
        </w:rPr>
        <w:t xml:space="preserve">  resulting from startup, shutdown, fuel switches or malfunction shall be excluded from CEMS data in any 24-hour period for the following conditions (these conditions are considered separate events and each event may occur independently within any 24-hour period):</w:t>
      </w:r>
      <w:bookmarkEnd w:id="62"/>
    </w:p>
    <w:p w:rsidR="00302FB3" w:rsidRDefault="00302FB3" w:rsidP="00A237FB">
      <w:pPr>
        <w:pStyle w:val="ListParagraph"/>
        <w:numPr>
          <w:ilvl w:val="0"/>
          <w:numId w:val="89"/>
        </w:numPr>
        <w:tabs>
          <w:tab w:val="left" w:pos="1080"/>
        </w:tabs>
        <w:spacing w:after="120"/>
        <w:contextualSpacing w:val="0"/>
        <w:rPr>
          <w:sz w:val="22"/>
          <w:szCs w:val="22"/>
        </w:rPr>
      </w:pPr>
      <w:r w:rsidRPr="00302FB3">
        <w:rPr>
          <w:i/>
          <w:sz w:val="22"/>
          <w:szCs w:val="22"/>
        </w:rPr>
        <w:t>Documented Malfunction</w:t>
      </w:r>
      <w:r w:rsidRPr="00302FB3">
        <w:rPr>
          <w:sz w:val="22"/>
          <w:szCs w:val="22"/>
        </w:rPr>
        <w:t>:  For each gas turbine/HSRG system, excess emissions of NO</w:t>
      </w:r>
      <w:r w:rsidRPr="00302FB3">
        <w:rPr>
          <w:sz w:val="22"/>
          <w:szCs w:val="22"/>
          <w:vertAlign w:val="subscript"/>
        </w:rPr>
        <w:t>X</w:t>
      </w:r>
      <w:r w:rsidRPr="00302FB3">
        <w:rPr>
          <w:sz w:val="22"/>
          <w:szCs w:val="22"/>
        </w:rPr>
        <w:t xml:space="preserve"> and CO </w:t>
      </w:r>
      <w:r w:rsidRPr="00302FB3">
        <w:rPr>
          <w:sz w:val="22"/>
          <w:szCs w:val="22"/>
          <w:highlight w:val="yellow"/>
          <w:u w:val="double"/>
        </w:rPr>
        <w:t>(if the option to use a CO CEMS is chosen)</w:t>
      </w:r>
      <w:r w:rsidRPr="00302FB3">
        <w:rPr>
          <w:sz w:val="22"/>
          <w:szCs w:val="22"/>
        </w:rPr>
        <w:t>resulting from documented malfunctions shall not exceed two hours in any 24-hour period.  A "documented malfunction" means a malfunction that is documented within one working day of detection by contacting the Compliance Authority by telephone, facsimile transmittal, or electronic mail.</w:t>
      </w:r>
    </w:p>
    <w:p w:rsidR="00302FB3" w:rsidRDefault="009609EA" w:rsidP="00302FB3">
      <w:pPr>
        <w:pStyle w:val="ListParagraph"/>
        <w:numPr>
          <w:ilvl w:val="0"/>
          <w:numId w:val="1"/>
        </w:numPr>
        <w:tabs>
          <w:tab w:val="left" w:pos="360"/>
        </w:tabs>
        <w:spacing w:after="120"/>
        <w:contextualSpacing w:val="0"/>
        <w:rPr>
          <w:sz w:val="22"/>
          <w:szCs w:val="22"/>
        </w:rPr>
      </w:pPr>
      <w:r>
        <w:rPr>
          <w:sz w:val="22"/>
          <w:szCs w:val="22"/>
        </w:rPr>
        <w:t xml:space="preserve">The combustion turbines in this subsection are not capable of simple cycle operation.  Thus, a minor correction to Specific Condition </w:t>
      </w:r>
      <w:r>
        <w:rPr>
          <w:b/>
          <w:sz w:val="22"/>
          <w:szCs w:val="22"/>
        </w:rPr>
        <w:t>D.25</w:t>
      </w:r>
      <w:r>
        <w:rPr>
          <w:sz w:val="22"/>
          <w:szCs w:val="22"/>
        </w:rPr>
        <w:t xml:space="preserve"> (formerly </w:t>
      </w:r>
      <w:r>
        <w:rPr>
          <w:b/>
          <w:sz w:val="22"/>
          <w:szCs w:val="22"/>
        </w:rPr>
        <w:t>D.14</w:t>
      </w:r>
      <w:r>
        <w:rPr>
          <w:sz w:val="22"/>
          <w:szCs w:val="22"/>
        </w:rPr>
        <w:t xml:space="preserve"> of Permit No. 0850001-040-AV) has been made as follows:</w:t>
      </w:r>
    </w:p>
    <w:p w:rsidR="009609EA" w:rsidRPr="00A237FB" w:rsidRDefault="009609EA" w:rsidP="00A237FB">
      <w:pPr>
        <w:numPr>
          <w:ilvl w:val="0"/>
          <w:numId w:val="90"/>
        </w:numPr>
        <w:tabs>
          <w:tab w:val="left" w:pos="1080"/>
        </w:tabs>
        <w:spacing w:before="120" w:after="120"/>
        <w:ind w:left="720"/>
        <w:rPr>
          <w:sz w:val="22"/>
          <w:szCs w:val="22"/>
        </w:rPr>
      </w:pPr>
      <w:bookmarkStart w:id="65" w:name="_Hlk505246960"/>
      <w:r w:rsidRPr="009609EA">
        <w:rPr>
          <w:sz w:val="22"/>
          <w:szCs w:val="22"/>
          <w:u w:val="single"/>
        </w:rPr>
        <w:t>NSPS Subpart KKKK Excess NO</w:t>
      </w:r>
      <w:r w:rsidRPr="009609EA">
        <w:rPr>
          <w:sz w:val="22"/>
          <w:szCs w:val="22"/>
          <w:u w:val="single"/>
          <w:vertAlign w:val="subscript"/>
        </w:rPr>
        <w:t>X</w:t>
      </w:r>
      <w:r w:rsidRPr="009609EA">
        <w:rPr>
          <w:sz w:val="22"/>
          <w:szCs w:val="22"/>
          <w:u w:val="single"/>
        </w:rPr>
        <w:t xml:space="preserve"> Emissions Definition</w:t>
      </w:r>
      <w:r w:rsidRPr="009609EA">
        <w:rPr>
          <w:sz w:val="22"/>
          <w:szCs w:val="22"/>
        </w:rPr>
        <w:t xml:space="preserve">.  Excess emissions for </w:t>
      </w:r>
      <w:r w:rsidRPr="009609EA">
        <w:rPr>
          <w:strike/>
          <w:sz w:val="22"/>
          <w:szCs w:val="22"/>
          <w:highlight w:val="yellow"/>
        </w:rPr>
        <w:t>simple and</w:t>
      </w:r>
      <w:r w:rsidRPr="009609EA">
        <w:rPr>
          <w:sz w:val="22"/>
          <w:szCs w:val="22"/>
        </w:rPr>
        <w:t xml:space="preserve"> combined </w:t>
      </w:r>
      <w:r w:rsidRPr="00A237FB">
        <w:rPr>
          <w:sz w:val="22"/>
          <w:szCs w:val="22"/>
        </w:rPr>
        <w:t>cycle operation are defined as follows:</w:t>
      </w:r>
      <w:bookmarkEnd w:id="65"/>
    </w:p>
    <w:p w:rsidR="009609EA" w:rsidRPr="00A237FB" w:rsidRDefault="009609EA" w:rsidP="009609EA">
      <w:pPr>
        <w:pStyle w:val="ListParagraph"/>
        <w:numPr>
          <w:ilvl w:val="0"/>
          <w:numId w:val="1"/>
        </w:numPr>
        <w:tabs>
          <w:tab w:val="left" w:pos="360"/>
        </w:tabs>
        <w:spacing w:after="120"/>
        <w:contextualSpacing w:val="0"/>
        <w:rPr>
          <w:sz w:val="22"/>
          <w:szCs w:val="22"/>
        </w:rPr>
      </w:pPr>
      <w:r w:rsidRPr="00A237FB">
        <w:rPr>
          <w:sz w:val="22"/>
          <w:szCs w:val="22"/>
        </w:rPr>
        <w:t xml:space="preserve">Current Title V air operation permit format standards have separate section for parametric monitors and CEMS/COMS.  Therefore, Specific Condition </w:t>
      </w:r>
      <w:r w:rsidRPr="00A237FB">
        <w:rPr>
          <w:b/>
          <w:sz w:val="22"/>
          <w:szCs w:val="22"/>
        </w:rPr>
        <w:t>D.32</w:t>
      </w:r>
      <w:r w:rsidRPr="00A237FB">
        <w:rPr>
          <w:sz w:val="22"/>
          <w:szCs w:val="22"/>
        </w:rPr>
        <w:t xml:space="preserve"> (formerly </w:t>
      </w:r>
      <w:r w:rsidRPr="00A237FB">
        <w:rPr>
          <w:b/>
          <w:sz w:val="22"/>
          <w:szCs w:val="22"/>
        </w:rPr>
        <w:t>D.20</w:t>
      </w:r>
      <w:r w:rsidRPr="00A237FB">
        <w:rPr>
          <w:sz w:val="22"/>
          <w:szCs w:val="22"/>
        </w:rPr>
        <w:t xml:space="preserve"> of Permit No. 0850001-040-AV), which pertains to water injection monitoring, has been added under </w:t>
      </w:r>
      <w:r w:rsidRPr="00A237FB">
        <w:rPr>
          <w:b/>
          <w:sz w:val="22"/>
          <w:szCs w:val="22"/>
          <w:u w:val="single"/>
        </w:rPr>
        <w:t>Monitoring of Operations</w:t>
      </w:r>
      <w:r w:rsidRPr="00A237FB">
        <w:rPr>
          <w:sz w:val="22"/>
          <w:szCs w:val="22"/>
        </w:rPr>
        <w:t xml:space="preserve"> as Specific Condition </w:t>
      </w:r>
      <w:r w:rsidRPr="00A237FB">
        <w:rPr>
          <w:b/>
          <w:sz w:val="22"/>
          <w:szCs w:val="22"/>
        </w:rPr>
        <w:t>D.29</w:t>
      </w:r>
      <w:r w:rsidRPr="00A237FB">
        <w:rPr>
          <w:sz w:val="22"/>
          <w:szCs w:val="22"/>
        </w:rPr>
        <w:t xml:space="preserve">.  </w:t>
      </w:r>
    </w:p>
    <w:p w:rsidR="009609EA" w:rsidRPr="00A237FB" w:rsidRDefault="009609EA" w:rsidP="009609EA">
      <w:pPr>
        <w:pStyle w:val="ListParagraph"/>
        <w:numPr>
          <w:ilvl w:val="0"/>
          <w:numId w:val="1"/>
        </w:numPr>
        <w:tabs>
          <w:tab w:val="left" w:pos="360"/>
        </w:tabs>
        <w:spacing w:after="120"/>
        <w:contextualSpacing w:val="0"/>
        <w:rPr>
          <w:sz w:val="22"/>
          <w:szCs w:val="22"/>
        </w:rPr>
      </w:pPr>
      <w:r w:rsidRPr="00A237FB">
        <w:rPr>
          <w:sz w:val="22"/>
          <w:szCs w:val="22"/>
        </w:rPr>
        <w:t xml:space="preserve">To incorporate revisions made in Permit No. 0850001-041-AC/PSD-FL-146J and 327F, Specific Conditions </w:t>
      </w:r>
      <w:r w:rsidRPr="00A237FB">
        <w:rPr>
          <w:b/>
          <w:sz w:val="22"/>
          <w:szCs w:val="22"/>
        </w:rPr>
        <w:t>D</w:t>
      </w:r>
      <w:r w:rsidR="002D4327" w:rsidRPr="00A237FB">
        <w:rPr>
          <w:b/>
          <w:sz w:val="22"/>
          <w:szCs w:val="22"/>
        </w:rPr>
        <w:t>.34</w:t>
      </w:r>
      <w:r w:rsidR="002D4327" w:rsidRPr="00A237FB">
        <w:rPr>
          <w:sz w:val="22"/>
          <w:szCs w:val="22"/>
        </w:rPr>
        <w:t xml:space="preserve">, </w:t>
      </w:r>
      <w:r w:rsidR="002D4327" w:rsidRPr="00A237FB">
        <w:rPr>
          <w:b/>
          <w:sz w:val="22"/>
          <w:szCs w:val="22"/>
        </w:rPr>
        <w:t>D.35</w:t>
      </w:r>
      <w:r w:rsidR="002D4327" w:rsidRPr="00A237FB">
        <w:rPr>
          <w:sz w:val="22"/>
          <w:szCs w:val="22"/>
        </w:rPr>
        <w:t xml:space="preserve"> and </w:t>
      </w:r>
      <w:r w:rsidR="002D4327" w:rsidRPr="00A237FB">
        <w:rPr>
          <w:b/>
          <w:sz w:val="22"/>
          <w:szCs w:val="22"/>
        </w:rPr>
        <w:t>D.3</w:t>
      </w:r>
      <w:r w:rsidR="00A237FB" w:rsidRPr="00A237FB">
        <w:rPr>
          <w:b/>
          <w:sz w:val="22"/>
          <w:szCs w:val="22"/>
        </w:rPr>
        <w:t>8</w:t>
      </w:r>
      <w:r w:rsidR="002D4327" w:rsidRPr="00A237FB">
        <w:rPr>
          <w:sz w:val="22"/>
          <w:szCs w:val="22"/>
        </w:rPr>
        <w:t xml:space="preserve"> (formerly </w:t>
      </w:r>
      <w:r w:rsidR="00A237FB" w:rsidRPr="00A237FB">
        <w:rPr>
          <w:b/>
          <w:sz w:val="22"/>
          <w:szCs w:val="22"/>
        </w:rPr>
        <w:t>D.22</w:t>
      </w:r>
      <w:r w:rsidR="00A237FB" w:rsidRPr="00A237FB">
        <w:rPr>
          <w:sz w:val="22"/>
          <w:szCs w:val="22"/>
        </w:rPr>
        <w:t xml:space="preserve">, </w:t>
      </w:r>
      <w:r w:rsidR="00A237FB" w:rsidRPr="00A237FB">
        <w:rPr>
          <w:b/>
          <w:sz w:val="22"/>
          <w:szCs w:val="22"/>
        </w:rPr>
        <w:t>D.23</w:t>
      </w:r>
      <w:r w:rsidR="00A237FB" w:rsidRPr="00A237FB">
        <w:rPr>
          <w:sz w:val="22"/>
          <w:szCs w:val="22"/>
        </w:rPr>
        <w:t xml:space="preserve"> and </w:t>
      </w:r>
      <w:r w:rsidR="00A237FB" w:rsidRPr="00A237FB">
        <w:rPr>
          <w:b/>
          <w:sz w:val="22"/>
          <w:szCs w:val="22"/>
        </w:rPr>
        <w:t>D.26</w:t>
      </w:r>
      <w:r w:rsidR="00A237FB" w:rsidRPr="00A237FB">
        <w:rPr>
          <w:sz w:val="22"/>
          <w:szCs w:val="22"/>
        </w:rPr>
        <w:t xml:space="preserve"> of Permit No. 0850001-040-AV) have been revised as follows:</w:t>
      </w:r>
    </w:p>
    <w:p w:rsidR="00A237FB" w:rsidRPr="00A237FB" w:rsidRDefault="00A237FB" w:rsidP="00A237FB">
      <w:pPr>
        <w:pStyle w:val="ListParagraph"/>
        <w:numPr>
          <w:ilvl w:val="0"/>
          <w:numId w:val="91"/>
        </w:numPr>
        <w:tabs>
          <w:tab w:val="left" w:pos="360"/>
          <w:tab w:val="left" w:pos="1080"/>
        </w:tabs>
        <w:spacing w:after="120"/>
        <w:contextualSpacing w:val="0"/>
        <w:rPr>
          <w:sz w:val="22"/>
          <w:szCs w:val="22"/>
        </w:rPr>
      </w:pPr>
      <w:r w:rsidRPr="00A237FB">
        <w:rPr>
          <w:sz w:val="22"/>
          <w:szCs w:val="22"/>
          <w:u w:val="single"/>
        </w:rPr>
        <w:t>Annual Compliance Tests</w:t>
      </w:r>
      <w:r w:rsidRPr="00A237FB">
        <w:rPr>
          <w:sz w:val="22"/>
          <w:szCs w:val="22"/>
        </w:rPr>
        <w:t xml:space="preserve">.  During each calendar year (January 1st to December 31st), each gas turbine shall be tested to demonstrate compliance with the emission standards for </w:t>
      </w:r>
      <w:r w:rsidRPr="00A237FB">
        <w:rPr>
          <w:strike/>
          <w:sz w:val="22"/>
          <w:szCs w:val="22"/>
          <w:highlight w:val="yellow"/>
        </w:rPr>
        <w:t>visible emissions</w:t>
      </w:r>
      <w:r w:rsidRPr="00A237FB">
        <w:rPr>
          <w:sz w:val="22"/>
          <w:szCs w:val="22"/>
        </w:rPr>
        <w:t xml:space="preserve"> </w:t>
      </w:r>
      <w:r w:rsidRPr="00A237FB">
        <w:rPr>
          <w:sz w:val="22"/>
          <w:szCs w:val="22"/>
          <w:highlight w:val="yellow"/>
          <w:u w:val="double"/>
        </w:rPr>
        <w:t>VE and CO (if a CO CEMS is not used)</w:t>
      </w:r>
      <w:r w:rsidRPr="00A237FB">
        <w:rPr>
          <w:sz w:val="22"/>
          <w:szCs w:val="22"/>
        </w:rPr>
        <w:t xml:space="preserve">.  Annual testing to determine the ammonia slip shall be conducted while firing the primary fuel.  CEMS data collected during the required Relative Accuracy Test Assessments (RATA) may be used to demonstrate compliance with the CO </w:t>
      </w:r>
      <w:r w:rsidRPr="00A237FB">
        <w:rPr>
          <w:sz w:val="22"/>
          <w:szCs w:val="22"/>
          <w:highlight w:val="yellow"/>
          <w:u w:val="double"/>
        </w:rPr>
        <w:t>(if the optional CO CEMS is used)</w:t>
      </w:r>
      <w:r w:rsidRPr="00A237FB">
        <w:rPr>
          <w:sz w:val="22"/>
          <w:szCs w:val="22"/>
        </w:rPr>
        <w:t xml:space="preserve"> and NO</w:t>
      </w:r>
      <w:r w:rsidRPr="00A237FB">
        <w:rPr>
          <w:sz w:val="22"/>
          <w:szCs w:val="22"/>
          <w:vertAlign w:val="subscript"/>
        </w:rPr>
        <w:t>X</w:t>
      </w:r>
      <w:r w:rsidRPr="00A237FB">
        <w:rPr>
          <w:sz w:val="22"/>
          <w:szCs w:val="22"/>
        </w:rPr>
        <w:t xml:space="preserve"> standards.  NO</w:t>
      </w:r>
      <w:r w:rsidRPr="00A237FB">
        <w:rPr>
          <w:sz w:val="22"/>
          <w:szCs w:val="22"/>
          <w:vertAlign w:val="subscript"/>
        </w:rPr>
        <w:t>X</w:t>
      </w:r>
      <w:r w:rsidRPr="00A237FB">
        <w:rPr>
          <w:sz w:val="22"/>
          <w:szCs w:val="22"/>
        </w:rPr>
        <w:t xml:space="preserve"> emissions recorded by the CEMS shall be reported for each ammonia slip test run.  </w:t>
      </w:r>
      <w:r w:rsidRPr="00A237FB">
        <w:rPr>
          <w:sz w:val="22"/>
          <w:szCs w:val="22"/>
          <w:highlight w:val="yellow"/>
          <w:u w:val="double"/>
        </w:rPr>
        <w:t>If an optional CO CEMS is used,</w:t>
      </w:r>
      <w:r w:rsidRPr="00A237FB">
        <w:rPr>
          <w:sz w:val="22"/>
          <w:szCs w:val="22"/>
        </w:rPr>
        <w:t xml:space="preserve"> CO emissions recorded by the CEMS shall be reported for the </w:t>
      </w:r>
      <w:r w:rsidRPr="00A237FB">
        <w:rPr>
          <w:strike/>
          <w:sz w:val="22"/>
          <w:szCs w:val="22"/>
          <w:highlight w:val="yellow"/>
        </w:rPr>
        <w:t>visible emissions</w:t>
      </w:r>
      <w:r w:rsidRPr="00A237FB">
        <w:rPr>
          <w:sz w:val="22"/>
          <w:szCs w:val="22"/>
        </w:rPr>
        <w:t xml:space="preserve"> </w:t>
      </w:r>
      <w:r w:rsidRPr="00A237FB">
        <w:rPr>
          <w:sz w:val="22"/>
          <w:szCs w:val="22"/>
          <w:highlight w:val="yellow"/>
          <w:u w:val="double"/>
        </w:rPr>
        <w:t>VE</w:t>
      </w:r>
      <w:r w:rsidRPr="00A237FB">
        <w:rPr>
          <w:sz w:val="22"/>
          <w:szCs w:val="22"/>
        </w:rPr>
        <w:t xml:space="preserve"> observation period.  VOC testing is only required if the CO CEMS </w:t>
      </w:r>
      <w:r w:rsidRPr="00A237FB">
        <w:rPr>
          <w:sz w:val="22"/>
          <w:szCs w:val="22"/>
          <w:highlight w:val="yellow"/>
          <w:u w:val="double"/>
        </w:rPr>
        <w:t>(optional) and/or stack test</w:t>
      </w:r>
      <w:r w:rsidRPr="00A237FB">
        <w:rPr>
          <w:sz w:val="22"/>
          <w:szCs w:val="22"/>
        </w:rPr>
        <w:t xml:space="preserve"> indicates an exceedance of the CO standard.  [Rules 62-212.400(BACT) &amp; 62-297.310</w:t>
      </w:r>
      <w:r w:rsidRPr="00A237FB">
        <w:rPr>
          <w:strike/>
          <w:sz w:val="22"/>
          <w:szCs w:val="22"/>
          <w:highlight w:val="yellow"/>
        </w:rPr>
        <w:t>(7)(a)4</w:t>
      </w:r>
      <w:r w:rsidRPr="00A237FB">
        <w:rPr>
          <w:sz w:val="22"/>
          <w:szCs w:val="22"/>
        </w:rPr>
        <w:t>, F.A.C.; and, Permit No. 0850001-010-AC</w:t>
      </w:r>
      <w:r w:rsidRPr="00A237FB">
        <w:rPr>
          <w:sz w:val="22"/>
          <w:szCs w:val="22"/>
          <w:highlight w:val="yellow"/>
          <w:u w:val="double"/>
        </w:rPr>
        <w:t>/</w:t>
      </w:r>
      <w:r w:rsidRPr="00A237FB">
        <w:rPr>
          <w:sz w:val="22"/>
          <w:szCs w:val="22"/>
        </w:rPr>
        <w:t xml:space="preserve"> </w:t>
      </w:r>
      <w:r w:rsidRPr="00A237FB">
        <w:rPr>
          <w:strike/>
          <w:sz w:val="22"/>
          <w:szCs w:val="22"/>
          <w:highlight w:val="yellow"/>
        </w:rPr>
        <w:t>(</w:t>
      </w:r>
      <w:r w:rsidRPr="00A237FB">
        <w:rPr>
          <w:sz w:val="22"/>
          <w:szCs w:val="22"/>
        </w:rPr>
        <w:t>PSD-FL-327</w:t>
      </w:r>
      <w:r w:rsidRPr="00A237FB">
        <w:rPr>
          <w:strike/>
          <w:sz w:val="22"/>
          <w:szCs w:val="22"/>
          <w:highlight w:val="yellow"/>
        </w:rPr>
        <w:t>)</w:t>
      </w:r>
      <w:r w:rsidRPr="00A237FB">
        <w:rPr>
          <w:sz w:val="22"/>
          <w:szCs w:val="22"/>
          <w:highlight w:val="yellow"/>
          <w:u w:val="double"/>
        </w:rPr>
        <w:t>, 0850001-032-AC/PSD-FL-146H &amp; 327F &amp; 0850001-041-AC/PSD-FL-146J &amp; 327G</w:t>
      </w:r>
      <w:r w:rsidRPr="00A237FB">
        <w:rPr>
          <w:sz w:val="22"/>
          <w:szCs w:val="22"/>
        </w:rPr>
        <w:t>]</w:t>
      </w:r>
    </w:p>
    <w:p w:rsidR="00A237FB" w:rsidRPr="00A237FB" w:rsidRDefault="00A237FB" w:rsidP="00A237FB">
      <w:pPr>
        <w:numPr>
          <w:ilvl w:val="0"/>
          <w:numId w:val="91"/>
        </w:numPr>
        <w:tabs>
          <w:tab w:val="left" w:pos="1080"/>
        </w:tabs>
        <w:spacing w:before="120" w:after="120"/>
        <w:rPr>
          <w:rFonts w:eastAsia="Calibri"/>
          <w:sz w:val="22"/>
          <w:szCs w:val="22"/>
          <w:u w:val="single"/>
        </w:rPr>
      </w:pPr>
      <w:r w:rsidRPr="00A237FB">
        <w:rPr>
          <w:sz w:val="22"/>
          <w:szCs w:val="22"/>
          <w:u w:val="single"/>
        </w:rPr>
        <w:t>Compliance Tests Prior To Renewal</w:t>
      </w:r>
      <w:r w:rsidRPr="00A237FB">
        <w:rPr>
          <w:sz w:val="22"/>
          <w:szCs w:val="22"/>
        </w:rPr>
        <w:t xml:space="preserve">.  Unless specifically exempted per Florida </w:t>
      </w:r>
      <w:r w:rsidRPr="00A237FB">
        <w:rPr>
          <w:strike/>
          <w:sz w:val="22"/>
          <w:szCs w:val="22"/>
          <w:highlight w:val="yellow"/>
        </w:rPr>
        <w:t>Rule</w:t>
      </w:r>
      <w:r w:rsidRPr="00A237FB">
        <w:rPr>
          <w:sz w:val="22"/>
          <w:szCs w:val="22"/>
        </w:rPr>
        <w:t xml:space="preserve"> </w:t>
      </w:r>
      <w:r w:rsidRPr="00A237FB">
        <w:rPr>
          <w:sz w:val="22"/>
          <w:szCs w:val="22"/>
          <w:highlight w:val="yellow"/>
          <w:u w:val="double"/>
        </w:rPr>
        <w:t>Chapter</w:t>
      </w:r>
      <w:r w:rsidRPr="00A237FB">
        <w:rPr>
          <w:sz w:val="22"/>
          <w:szCs w:val="22"/>
        </w:rPr>
        <w:t xml:space="preserve"> 62-297, F.A.C., prior to permit renewal, compliance tests shall be performed for the following pollutants:  VE, CO, </w:t>
      </w:r>
      <w:r w:rsidRPr="00A237FB">
        <w:rPr>
          <w:strike/>
          <w:sz w:val="22"/>
          <w:szCs w:val="22"/>
          <w:highlight w:val="yellow"/>
        </w:rPr>
        <w:t>VOC (only if the CO CEMS indicates an exceedance of the CO standard),</w:t>
      </w:r>
      <w:r w:rsidRPr="00A237FB">
        <w:rPr>
          <w:sz w:val="22"/>
          <w:szCs w:val="22"/>
        </w:rPr>
        <w:t xml:space="preserve"> NO</w:t>
      </w:r>
      <w:r w:rsidRPr="00A237FB">
        <w:rPr>
          <w:sz w:val="22"/>
          <w:szCs w:val="22"/>
          <w:vertAlign w:val="subscript"/>
        </w:rPr>
        <w:t>X</w:t>
      </w:r>
      <w:r w:rsidRPr="00A237FB">
        <w:rPr>
          <w:sz w:val="22"/>
          <w:szCs w:val="22"/>
        </w:rPr>
        <w:t xml:space="preserve"> and ammonia slip.  </w:t>
      </w:r>
      <w:r w:rsidRPr="00A237FB">
        <w:rPr>
          <w:sz w:val="22"/>
          <w:szCs w:val="22"/>
          <w:highlight w:val="yellow"/>
          <w:u w:val="double"/>
        </w:rPr>
        <w:t>VOC testing is only required if the CO CEMS (optional) and/or stack test indicates an exceedance of the CO standard.</w:t>
      </w:r>
      <w:r w:rsidRPr="00A237FB">
        <w:rPr>
          <w:sz w:val="22"/>
          <w:szCs w:val="22"/>
        </w:rPr>
        <w:t xml:space="preserve">  [Rule 62-297.310</w:t>
      </w:r>
      <w:r w:rsidRPr="00A237FB">
        <w:rPr>
          <w:strike/>
          <w:sz w:val="22"/>
          <w:szCs w:val="22"/>
          <w:highlight w:val="yellow"/>
        </w:rPr>
        <w:t>(7)(a)3.</w:t>
      </w:r>
      <w:r w:rsidRPr="00A237FB">
        <w:rPr>
          <w:sz w:val="22"/>
          <w:szCs w:val="22"/>
        </w:rPr>
        <w:t>, F.A.C.; and, Permit Nos. 0850001-010-AC</w:t>
      </w:r>
      <w:r w:rsidRPr="00A237FB">
        <w:rPr>
          <w:sz w:val="22"/>
          <w:szCs w:val="22"/>
          <w:highlight w:val="yellow"/>
          <w:u w:val="double"/>
        </w:rPr>
        <w:t>/</w:t>
      </w:r>
      <w:r w:rsidRPr="00A237FB">
        <w:rPr>
          <w:sz w:val="22"/>
          <w:szCs w:val="22"/>
        </w:rPr>
        <w:t xml:space="preserve"> </w:t>
      </w:r>
      <w:r w:rsidRPr="00A237FB">
        <w:rPr>
          <w:strike/>
          <w:sz w:val="22"/>
          <w:szCs w:val="22"/>
          <w:highlight w:val="yellow"/>
        </w:rPr>
        <w:t>(</w:t>
      </w:r>
      <w:r w:rsidRPr="00A237FB">
        <w:rPr>
          <w:sz w:val="22"/>
          <w:szCs w:val="22"/>
        </w:rPr>
        <w:t>PSD-FL-327</w:t>
      </w:r>
      <w:r w:rsidRPr="00A237FB">
        <w:rPr>
          <w:strike/>
          <w:sz w:val="22"/>
          <w:szCs w:val="22"/>
          <w:highlight w:val="yellow"/>
        </w:rPr>
        <w:t>)</w:t>
      </w:r>
      <w:r w:rsidRPr="00A237FB">
        <w:rPr>
          <w:sz w:val="22"/>
          <w:szCs w:val="22"/>
          <w:highlight w:val="yellow"/>
          <w:u w:val="double"/>
        </w:rPr>
        <w:t>,</w:t>
      </w:r>
      <w:r w:rsidRPr="00A237FB">
        <w:rPr>
          <w:sz w:val="22"/>
          <w:szCs w:val="22"/>
        </w:rPr>
        <w:t xml:space="preserve"> </w:t>
      </w:r>
      <w:r w:rsidRPr="00A237FB">
        <w:rPr>
          <w:strike/>
          <w:sz w:val="22"/>
          <w:szCs w:val="22"/>
          <w:highlight w:val="yellow"/>
        </w:rPr>
        <w:t>&amp;</w:t>
      </w:r>
      <w:r w:rsidRPr="00A237FB">
        <w:rPr>
          <w:sz w:val="22"/>
          <w:szCs w:val="22"/>
        </w:rPr>
        <w:t xml:space="preserve"> 0850001-032-AC</w:t>
      </w:r>
      <w:r w:rsidRPr="00A237FB">
        <w:rPr>
          <w:sz w:val="22"/>
          <w:szCs w:val="22"/>
          <w:highlight w:val="yellow"/>
          <w:u w:val="double"/>
        </w:rPr>
        <w:t>/</w:t>
      </w:r>
      <w:r w:rsidRPr="00A237FB">
        <w:rPr>
          <w:sz w:val="22"/>
          <w:szCs w:val="22"/>
        </w:rPr>
        <w:t xml:space="preserve"> </w:t>
      </w:r>
      <w:r w:rsidRPr="00A237FB">
        <w:rPr>
          <w:strike/>
          <w:sz w:val="22"/>
          <w:szCs w:val="22"/>
          <w:highlight w:val="yellow"/>
        </w:rPr>
        <w:t>(</w:t>
      </w:r>
      <w:r w:rsidRPr="00A237FB">
        <w:rPr>
          <w:sz w:val="22"/>
          <w:szCs w:val="22"/>
        </w:rPr>
        <w:t xml:space="preserve">PSD-FL-146H </w:t>
      </w:r>
      <w:r w:rsidRPr="00A237FB">
        <w:rPr>
          <w:strike/>
          <w:sz w:val="22"/>
          <w:szCs w:val="22"/>
          <w:highlight w:val="yellow"/>
        </w:rPr>
        <w:t>/</w:t>
      </w:r>
      <w:r w:rsidRPr="00A237FB">
        <w:rPr>
          <w:sz w:val="22"/>
          <w:szCs w:val="22"/>
        </w:rPr>
        <w:t xml:space="preserve"> </w:t>
      </w:r>
      <w:r w:rsidRPr="00A237FB">
        <w:rPr>
          <w:sz w:val="22"/>
          <w:szCs w:val="22"/>
          <w:highlight w:val="yellow"/>
          <w:u w:val="double"/>
        </w:rPr>
        <w:t>&amp;</w:t>
      </w:r>
      <w:r w:rsidRPr="00A237FB">
        <w:rPr>
          <w:sz w:val="22"/>
          <w:szCs w:val="22"/>
        </w:rPr>
        <w:t xml:space="preserve"> </w:t>
      </w:r>
      <w:r w:rsidRPr="00A237FB">
        <w:rPr>
          <w:strike/>
          <w:sz w:val="22"/>
          <w:szCs w:val="22"/>
          <w:highlight w:val="yellow"/>
        </w:rPr>
        <w:t>PSD-FL-</w:t>
      </w:r>
      <w:r w:rsidRPr="00A237FB">
        <w:rPr>
          <w:sz w:val="22"/>
          <w:szCs w:val="22"/>
        </w:rPr>
        <w:t>327F</w:t>
      </w:r>
      <w:r w:rsidRPr="00A237FB">
        <w:rPr>
          <w:strike/>
          <w:sz w:val="22"/>
          <w:szCs w:val="22"/>
          <w:highlight w:val="yellow"/>
        </w:rPr>
        <w:t>)</w:t>
      </w:r>
      <w:r w:rsidRPr="00A237FB">
        <w:rPr>
          <w:sz w:val="22"/>
          <w:szCs w:val="22"/>
        </w:rPr>
        <w:t xml:space="preserve"> </w:t>
      </w:r>
      <w:r w:rsidRPr="00A237FB">
        <w:rPr>
          <w:sz w:val="22"/>
          <w:szCs w:val="22"/>
          <w:highlight w:val="yellow"/>
          <w:u w:val="double"/>
        </w:rPr>
        <w:t>&amp; 0850001-041-AC/PSD-FL-146J &amp; 327G</w:t>
      </w:r>
      <w:r w:rsidRPr="00A237FB">
        <w:rPr>
          <w:sz w:val="22"/>
          <w:szCs w:val="22"/>
        </w:rPr>
        <w:t>]</w:t>
      </w:r>
    </w:p>
    <w:p w:rsidR="00A237FB" w:rsidRPr="00A237FB" w:rsidRDefault="00A237FB" w:rsidP="00A237FB">
      <w:pPr>
        <w:numPr>
          <w:ilvl w:val="0"/>
          <w:numId w:val="92"/>
        </w:numPr>
        <w:tabs>
          <w:tab w:val="left" w:pos="1080"/>
        </w:tabs>
        <w:spacing w:before="120" w:after="120"/>
        <w:rPr>
          <w:rFonts w:eastAsia="Calibri"/>
          <w:sz w:val="22"/>
          <w:szCs w:val="22"/>
          <w:u w:val="single"/>
        </w:rPr>
      </w:pPr>
      <w:r w:rsidRPr="00A237FB">
        <w:rPr>
          <w:sz w:val="22"/>
          <w:szCs w:val="22"/>
          <w:u w:val="single"/>
        </w:rPr>
        <w:t>Continuous Compliance</w:t>
      </w:r>
      <w:r w:rsidRPr="00A237FB">
        <w:rPr>
          <w:sz w:val="22"/>
          <w:szCs w:val="22"/>
        </w:rPr>
        <w:t xml:space="preserve">.  The permittee shall demonstrate continuous compliance with the </w:t>
      </w:r>
      <w:r w:rsidRPr="00A237FB">
        <w:rPr>
          <w:strike/>
          <w:sz w:val="22"/>
          <w:szCs w:val="22"/>
          <w:highlight w:val="yellow"/>
        </w:rPr>
        <w:t>CO and</w:t>
      </w:r>
      <w:r w:rsidRPr="00A237FB">
        <w:rPr>
          <w:sz w:val="22"/>
          <w:szCs w:val="22"/>
        </w:rPr>
        <w:t xml:space="preserve"> NO</w:t>
      </w:r>
      <w:r w:rsidRPr="00A237FB">
        <w:rPr>
          <w:sz w:val="22"/>
          <w:szCs w:val="22"/>
          <w:vertAlign w:val="subscript"/>
        </w:rPr>
        <w:t>X</w:t>
      </w:r>
      <w:r w:rsidRPr="00A237FB">
        <w:rPr>
          <w:sz w:val="22"/>
          <w:szCs w:val="22"/>
        </w:rPr>
        <w:t xml:space="preserve"> emissions standards based on data collected by the certified CEMS.  </w:t>
      </w:r>
      <w:r w:rsidRPr="00A237FB">
        <w:rPr>
          <w:sz w:val="22"/>
          <w:szCs w:val="22"/>
          <w:highlight w:val="yellow"/>
          <w:u w:val="double"/>
        </w:rPr>
        <w:t>The permittee shall demonstrate compliance with the CO emissions standards using data collected by a certified CEMS if an optional CO CEMS is used.</w:t>
      </w:r>
      <w:r w:rsidRPr="00A237FB">
        <w:rPr>
          <w:sz w:val="22"/>
          <w:szCs w:val="22"/>
        </w:rPr>
        <w:t xml:space="preserve">  Within 45 days of conducting any Relative Accuracy Test Assessments (RATA) on a CEMS, the permittee shall submit a report to the Compliance Authority summarizing results of the RATA.  Compliance with the CO emission standards also serves as an indicator of efficient fuel combustion, which reduces emissions of particulate matter and volatile organic compounds.  [Permit No</w:t>
      </w:r>
      <w:r w:rsidRPr="00A237FB">
        <w:rPr>
          <w:sz w:val="22"/>
          <w:szCs w:val="22"/>
          <w:highlight w:val="yellow"/>
          <w:u w:val="double"/>
        </w:rPr>
        <w:t>s</w:t>
      </w:r>
      <w:r w:rsidRPr="00A237FB">
        <w:rPr>
          <w:sz w:val="22"/>
          <w:szCs w:val="22"/>
        </w:rPr>
        <w:t>. 0850001-010-AC</w:t>
      </w:r>
      <w:r w:rsidRPr="00A237FB">
        <w:rPr>
          <w:sz w:val="22"/>
          <w:szCs w:val="22"/>
          <w:highlight w:val="yellow"/>
          <w:u w:val="double"/>
        </w:rPr>
        <w:t>/</w:t>
      </w:r>
      <w:r w:rsidRPr="00A237FB">
        <w:rPr>
          <w:strike/>
          <w:sz w:val="22"/>
          <w:szCs w:val="22"/>
          <w:highlight w:val="yellow"/>
        </w:rPr>
        <w:t>(</w:t>
      </w:r>
      <w:r w:rsidRPr="00A237FB">
        <w:rPr>
          <w:sz w:val="22"/>
          <w:szCs w:val="22"/>
        </w:rPr>
        <w:t>PSD-FL-327</w:t>
      </w:r>
      <w:r w:rsidRPr="00A237FB">
        <w:rPr>
          <w:strike/>
          <w:sz w:val="22"/>
          <w:szCs w:val="22"/>
          <w:highlight w:val="yellow"/>
          <w:u w:val="double"/>
        </w:rPr>
        <w:t>)</w:t>
      </w:r>
      <w:r w:rsidRPr="00A237FB">
        <w:rPr>
          <w:sz w:val="22"/>
          <w:szCs w:val="22"/>
          <w:highlight w:val="yellow"/>
          <w:u w:val="double"/>
        </w:rPr>
        <w:t xml:space="preserve"> &amp; 0850001-041-AC/PSD-FL-146J &amp; 327G</w:t>
      </w:r>
      <w:r w:rsidRPr="00A237FB">
        <w:rPr>
          <w:sz w:val="22"/>
          <w:szCs w:val="22"/>
        </w:rPr>
        <w:t>]</w:t>
      </w:r>
    </w:p>
    <w:p w:rsidR="00A237FB" w:rsidRDefault="00A237FB" w:rsidP="00A237FB">
      <w:pPr>
        <w:pStyle w:val="ListParagraph"/>
        <w:numPr>
          <w:ilvl w:val="0"/>
          <w:numId w:val="1"/>
        </w:numPr>
        <w:tabs>
          <w:tab w:val="left" w:pos="360"/>
        </w:tabs>
        <w:spacing w:after="120"/>
        <w:contextualSpacing w:val="0"/>
        <w:rPr>
          <w:sz w:val="22"/>
          <w:szCs w:val="22"/>
        </w:rPr>
      </w:pPr>
      <w:r>
        <w:rPr>
          <w:sz w:val="22"/>
          <w:szCs w:val="22"/>
        </w:rPr>
        <w:t xml:space="preserve">To reflect the addition, removal and revision of specific conditions in this subsection, Specific Condition </w:t>
      </w:r>
      <w:r>
        <w:rPr>
          <w:b/>
          <w:sz w:val="22"/>
          <w:szCs w:val="22"/>
        </w:rPr>
        <w:t>D.40</w:t>
      </w:r>
      <w:r>
        <w:rPr>
          <w:sz w:val="22"/>
          <w:szCs w:val="22"/>
        </w:rPr>
        <w:t xml:space="preserve"> (formerly </w:t>
      </w:r>
      <w:r>
        <w:rPr>
          <w:b/>
          <w:sz w:val="22"/>
          <w:szCs w:val="22"/>
        </w:rPr>
        <w:t>D.28</w:t>
      </w:r>
      <w:r>
        <w:rPr>
          <w:sz w:val="22"/>
          <w:szCs w:val="22"/>
        </w:rPr>
        <w:t xml:space="preserve"> of Permit No. 0850001-040-AV) </w:t>
      </w:r>
      <w:r w:rsidRPr="00A237FB">
        <w:rPr>
          <w:sz w:val="22"/>
          <w:szCs w:val="22"/>
        </w:rPr>
        <w:t>has</w:t>
      </w:r>
      <w:r>
        <w:rPr>
          <w:sz w:val="22"/>
          <w:szCs w:val="22"/>
        </w:rPr>
        <w:t xml:space="preserve"> been revised as follows:</w:t>
      </w:r>
    </w:p>
    <w:p w:rsidR="00A237FB" w:rsidRPr="00A237FB" w:rsidRDefault="00A237FB" w:rsidP="00A237FB">
      <w:pPr>
        <w:pStyle w:val="ListParagraph"/>
        <w:numPr>
          <w:ilvl w:val="0"/>
          <w:numId w:val="93"/>
        </w:numPr>
        <w:tabs>
          <w:tab w:val="left" w:pos="1080"/>
        </w:tabs>
        <w:spacing w:before="120" w:after="120"/>
        <w:ind w:left="720"/>
        <w:rPr>
          <w:sz w:val="22"/>
          <w:szCs w:val="22"/>
        </w:rPr>
      </w:pPr>
      <w:r w:rsidRPr="00A237FB">
        <w:rPr>
          <w:sz w:val="22"/>
          <w:szCs w:val="22"/>
          <w:u w:val="single"/>
        </w:rPr>
        <w:t>Reporting Schedule</w:t>
      </w:r>
      <w:r w:rsidRPr="00A237FB">
        <w:rPr>
          <w:sz w:val="22"/>
          <w:szCs w:val="22"/>
        </w:rPr>
        <w:t xml:space="preserve">.  The following reports and notifications shall be submitted to the Compliance Authority:  </w:t>
      </w:r>
    </w:p>
    <w:tbl>
      <w:tblPr>
        <w:tblW w:w="9405" w:type="dxa"/>
        <w:tblInd w:w="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2655"/>
        <w:gridCol w:w="2430"/>
      </w:tblGrid>
      <w:tr w:rsidR="00A237FB" w:rsidRPr="00A237FB" w:rsidTr="00A237FB">
        <w:trPr>
          <w:trHeight w:val="503"/>
        </w:trPr>
        <w:tc>
          <w:tcPr>
            <w:tcW w:w="4320" w:type="dxa"/>
            <w:tcBorders>
              <w:top w:val="single" w:sz="12" w:space="0" w:color="auto"/>
              <w:left w:val="single" w:sz="12" w:space="0" w:color="auto"/>
              <w:bottom w:val="single" w:sz="12" w:space="0" w:color="auto"/>
              <w:right w:val="single" w:sz="12" w:space="0" w:color="auto"/>
            </w:tcBorders>
            <w:shd w:val="clear" w:color="auto" w:fill="auto"/>
            <w:vAlign w:val="center"/>
          </w:tcPr>
          <w:p w:rsidR="00A237FB" w:rsidRPr="00A237FB" w:rsidRDefault="00A237FB" w:rsidP="00CE3E1B">
            <w:pPr>
              <w:tabs>
                <w:tab w:val="left" w:pos="360"/>
                <w:tab w:val="left" w:pos="720"/>
                <w:tab w:val="left" w:pos="1080"/>
                <w:tab w:val="left" w:pos="1440"/>
                <w:tab w:val="left" w:pos="1800"/>
                <w:tab w:val="left" w:pos="2160"/>
              </w:tabs>
              <w:spacing w:before="20" w:after="20" w:line="-240" w:lineRule="auto"/>
              <w:jc w:val="center"/>
              <w:rPr>
                <w:b/>
                <w:sz w:val="22"/>
                <w:szCs w:val="22"/>
              </w:rPr>
            </w:pPr>
            <w:r w:rsidRPr="00A237FB">
              <w:rPr>
                <w:b/>
                <w:sz w:val="22"/>
                <w:szCs w:val="22"/>
              </w:rPr>
              <w:t>Report</w:t>
            </w:r>
          </w:p>
        </w:tc>
        <w:tc>
          <w:tcPr>
            <w:tcW w:w="2655" w:type="dxa"/>
            <w:tcBorders>
              <w:top w:val="single" w:sz="12" w:space="0" w:color="auto"/>
              <w:left w:val="single" w:sz="12" w:space="0" w:color="auto"/>
              <w:bottom w:val="single" w:sz="12" w:space="0" w:color="auto"/>
              <w:right w:val="single" w:sz="12" w:space="0" w:color="auto"/>
            </w:tcBorders>
            <w:shd w:val="clear" w:color="auto" w:fill="auto"/>
            <w:vAlign w:val="center"/>
          </w:tcPr>
          <w:p w:rsidR="00A237FB" w:rsidRPr="00A237FB" w:rsidRDefault="00A237FB" w:rsidP="00CE3E1B">
            <w:pPr>
              <w:tabs>
                <w:tab w:val="left" w:pos="360"/>
                <w:tab w:val="left" w:pos="720"/>
                <w:tab w:val="left" w:pos="1080"/>
                <w:tab w:val="left" w:pos="1440"/>
                <w:tab w:val="left" w:pos="1800"/>
                <w:tab w:val="left" w:pos="2160"/>
              </w:tabs>
              <w:spacing w:before="20" w:after="20" w:line="-240" w:lineRule="auto"/>
              <w:jc w:val="center"/>
              <w:rPr>
                <w:b/>
                <w:sz w:val="22"/>
                <w:szCs w:val="22"/>
              </w:rPr>
            </w:pPr>
            <w:r w:rsidRPr="00A237FB">
              <w:rPr>
                <w:b/>
                <w:sz w:val="22"/>
                <w:szCs w:val="22"/>
              </w:rPr>
              <w:t>Reporting Deadline</w:t>
            </w:r>
          </w:p>
        </w:tc>
        <w:tc>
          <w:tcPr>
            <w:tcW w:w="2430" w:type="dxa"/>
            <w:tcBorders>
              <w:top w:val="single" w:sz="12" w:space="0" w:color="auto"/>
              <w:left w:val="single" w:sz="12" w:space="0" w:color="auto"/>
              <w:bottom w:val="single" w:sz="12" w:space="0" w:color="auto"/>
              <w:right w:val="single" w:sz="12" w:space="0" w:color="auto"/>
            </w:tcBorders>
            <w:shd w:val="clear" w:color="auto" w:fill="auto"/>
            <w:vAlign w:val="center"/>
          </w:tcPr>
          <w:p w:rsidR="00A237FB" w:rsidRPr="00A237FB" w:rsidRDefault="00A237FB" w:rsidP="00CE3E1B">
            <w:pPr>
              <w:tabs>
                <w:tab w:val="left" w:pos="360"/>
                <w:tab w:val="left" w:pos="720"/>
                <w:tab w:val="left" w:pos="1080"/>
                <w:tab w:val="left" w:pos="1440"/>
                <w:tab w:val="left" w:pos="1800"/>
                <w:tab w:val="left" w:pos="2160"/>
              </w:tabs>
              <w:spacing w:before="20" w:after="20" w:line="-240" w:lineRule="auto"/>
              <w:jc w:val="center"/>
              <w:rPr>
                <w:b/>
                <w:sz w:val="22"/>
                <w:szCs w:val="22"/>
              </w:rPr>
            </w:pPr>
            <w:r w:rsidRPr="00A237FB">
              <w:rPr>
                <w:b/>
                <w:sz w:val="22"/>
                <w:szCs w:val="22"/>
              </w:rPr>
              <w:t>Related Condition(s)</w:t>
            </w:r>
          </w:p>
        </w:tc>
      </w:tr>
      <w:tr w:rsidR="00A237FB" w:rsidRPr="00A237FB" w:rsidTr="00A237FB">
        <w:tc>
          <w:tcPr>
            <w:tcW w:w="4320" w:type="dxa"/>
            <w:tcBorders>
              <w:top w:val="single" w:sz="12" w:space="0" w:color="auto"/>
              <w:left w:val="single" w:sz="12" w:space="0" w:color="auto"/>
              <w:right w:val="single" w:sz="12" w:space="0" w:color="auto"/>
            </w:tcBorders>
            <w:vAlign w:val="center"/>
          </w:tcPr>
          <w:p w:rsidR="00A237FB" w:rsidRPr="00A237FB" w:rsidRDefault="00A237FB" w:rsidP="00CE3E1B">
            <w:pPr>
              <w:pStyle w:val="BodyText"/>
              <w:spacing w:before="20" w:after="20"/>
              <w:ind w:right="144"/>
              <w:jc w:val="center"/>
              <w:rPr>
                <w:sz w:val="22"/>
                <w:szCs w:val="22"/>
              </w:rPr>
            </w:pPr>
            <w:r w:rsidRPr="00A237FB">
              <w:rPr>
                <w:sz w:val="22"/>
                <w:szCs w:val="22"/>
              </w:rPr>
              <w:t>Notice of Capacity Monitoring</w:t>
            </w:r>
          </w:p>
        </w:tc>
        <w:tc>
          <w:tcPr>
            <w:tcW w:w="2655" w:type="dxa"/>
            <w:tcBorders>
              <w:top w:val="single" w:sz="12" w:space="0" w:color="auto"/>
              <w:left w:val="single" w:sz="12" w:space="0" w:color="auto"/>
              <w:right w:val="single" w:sz="12" w:space="0" w:color="auto"/>
            </w:tcBorders>
            <w:vAlign w:val="center"/>
          </w:tcPr>
          <w:p w:rsidR="00A237FB" w:rsidRPr="00A237FB" w:rsidRDefault="00A237FB" w:rsidP="00CE3E1B">
            <w:pPr>
              <w:suppressAutoHyphens/>
              <w:spacing w:before="20" w:after="20"/>
              <w:ind w:right="144"/>
              <w:jc w:val="center"/>
              <w:rPr>
                <w:sz w:val="22"/>
                <w:szCs w:val="22"/>
              </w:rPr>
            </w:pPr>
            <w:r w:rsidRPr="00A237FB">
              <w:rPr>
                <w:sz w:val="22"/>
                <w:szCs w:val="22"/>
              </w:rPr>
              <w:t>Daily.</w:t>
            </w:r>
          </w:p>
        </w:tc>
        <w:tc>
          <w:tcPr>
            <w:tcW w:w="2430" w:type="dxa"/>
            <w:tcBorders>
              <w:top w:val="single" w:sz="12" w:space="0" w:color="auto"/>
              <w:left w:val="single" w:sz="12" w:space="0" w:color="auto"/>
              <w:right w:val="single" w:sz="12" w:space="0" w:color="auto"/>
            </w:tcBorders>
            <w:vAlign w:val="center"/>
          </w:tcPr>
          <w:p w:rsidR="00A237FB" w:rsidRPr="00A237FB" w:rsidRDefault="00A237FB" w:rsidP="00CE3E1B">
            <w:pPr>
              <w:pStyle w:val="BodyText"/>
              <w:spacing w:before="20" w:after="20"/>
              <w:ind w:right="144"/>
              <w:jc w:val="center"/>
              <w:rPr>
                <w:b/>
                <w:sz w:val="22"/>
                <w:szCs w:val="22"/>
              </w:rPr>
            </w:pPr>
            <w:r w:rsidRPr="00A237FB">
              <w:rPr>
                <w:b/>
                <w:strike/>
                <w:sz w:val="22"/>
                <w:szCs w:val="22"/>
                <w:highlight w:val="yellow"/>
              </w:rPr>
              <w:t>D.30</w:t>
            </w:r>
            <w:r w:rsidRPr="00A237FB">
              <w:rPr>
                <w:sz w:val="22"/>
                <w:szCs w:val="22"/>
              </w:rPr>
              <w:t xml:space="preserve"> </w:t>
            </w:r>
            <w:r>
              <w:rPr>
                <w:b/>
                <w:sz w:val="22"/>
                <w:szCs w:val="22"/>
                <w:highlight w:val="yellow"/>
                <w:u w:val="double"/>
              </w:rPr>
              <w:t>D.41</w:t>
            </w:r>
          </w:p>
        </w:tc>
      </w:tr>
      <w:tr w:rsidR="00A237FB" w:rsidRPr="00A237FB" w:rsidTr="00A237FB">
        <w:tc>
          <w:tcPr>
            <w:tcW w:w="4320" w:type="dxa"/>
            <w:tcBorders>
              <w:left w:val="single" w:sz="12" w:space="0" w:color="auto"/>
              <w:right w:val="single" w:sz="12" w:space="0" w:color="auto"/>
            </w:tcBorders>
            <w:vAlign w:val="center"/>
          </w:tcPr>
          <w:p w:rsidR="00A237FB" w:rsidRPr="00A237FB" w:rsidRDefault="00A237FB" w:rsidP="00CE3E1B">
            <w:pPr>
              <w:pStyle w:val="BodyText"/>
              <w:spacing w:before="20" w:after="20"/>
              <w:ind w:right="144"/>
              <w:jc w:val="center"/>
              <w:rPr>
                <w:sz w:val="22"/>
                <w:szCs w:val="22"/>
              </w:rPr>
            </w:pPr>
            <w:r w:rsidRPr="00A237FB">
              <w:rPr>
                <w:sz w:val="22"/>
                <w:szCs w:val="22"/>
              </w:rPr>
              <w:t>Notice of Monthly Operations</w:t>
            </w:r>
          </w:p>
        </w:tc>
        <w:tc>
          <w:tcPr>
            <w:tcW w:w="2655" w:type="dxa"/>
            <w:tcBorders>
              <w:left w:val="single" w:sz="12" w:space="0" w:color="auto"/>
              <w:right w:val="single" w:sz="12" w:space="0" w:color="auto"/>
            </w:tcBorders>
            <w:vAlign w:val="center"/>
          </w:tcPr>
          <w:p w:rsidR="00A237FB" w:rsidRPr="00A237FB" w:rsidRDefault="00A237FB" w:rsidP="00CE3E1B">
            <w:pPr>
              <w:suppressAutoHyphens/>
              <w:spacing w:before="20" w:after="20"/>
              <w:ind w:right="144"/>
              <w:jc w:val="center"/>
              <w:rPr>
                <w:sz w:val="22"/>
                <w:szCs w:val="22"/>
              </w:rPr>
            </w:pPr>
            <w:r w:rsidRPr="00A237FB">
              <w:rPr>
                <w:sz w:val="22"/>
                <w:szCs w:val="22"/>
              </w:rPr>
              <w:t>Monthly.</w:t>
            </w:r>
          </w:p>
        </w:tc>
        <w:tc>
          <w:tcPr>
            <w:tcW w:w="2430" w:type="dxa"/>
            <w:tcBorders>
              <w:left w:val="single" w:sz="12" w:space="0" w:color="auto"/>
              <w:right w:val="single" w:sz="12" w:space="0" w:color="auto"/>
            </w:tcBorders>
            <w:vAlign w:val="center"/>
          </w:tcPr>
          <w:p w:rsidR="00A237FB" w:rsidRPr="00A237FB" w:rsidRDefault="00A237FB" w:rsidP="00CE3E1B">
            <w:pPr>
              <w:pStyle w:val="BodyText"/>
              <w:spacing w:before="20" w:after="20"/>
              <w:ind w:right="144"/>
              <w:jc w:val="center"/>
              <w:rPr>
                <w:b/>
                <w:sz w:val="22"/>
                <w:szCs w:val="22"/>
              </w:rPr>
            </w:pPr>
            <w:r w:rsidRPr="00A237FB">
              <w:rPr>
                <w:b/>
                <w:strike/>
                <w:sz w:val="22"/>
                <w:szCs w:val="22"/>
                <w:highlight w:val="yellow"/>
              </w:rPr>
              <w:t>D.31</w:t>
            </w:r>
            <w:r w:rsidRPr="00A237FB">
              <w:rPr>
                <w:sz w:val="22"/>
                <w:szCs w:val="22"/>
              </w:rPr>
              <w:t xml:space="preserve"> </w:t>
            </w:r>
            <w:r>
              <w:rPr>
                <w:b/>
                <w:sz w:val="22"/>
                <w:szCs w:val="22"/>
                <w:highlight w:val="yellow"/>
                <w:u w:val="double"/>
              </w:rPr>
              <w:t>D.42</w:t>
            </w:r>
          </w:p>
        </w:tc>
      </w:tr>
      <w:tr w:rsidR="00A237FB" w:rsidRPr="00A237FB" w:rsidTr="00A237FB">
        <w:tc>
          <w:tcPr>
            <w:tcW w:w="4320" w:type="dxa"/>
            <w:tcBorders>
              <w:left w:val="single" w:sz="12" w:space="0" w:color="auto"/>
              <w:right w:val="single" w:sz="12" w:space="0" w:color="auto"/>
            </w:tcBorders>
            <w:vAlign w:val="center"/>
          </w:tcPr>
          <w:p w:rsidR="00A237FB" w:rsidRPr="00A237FB" w:rsidRDefault="00A237FB" w:rsidP="00CE3E1B">
            <w:pPr>
              <w:pStyle w:val="BodyText"/>
              <w:spacing w:before="20" w:after="20"/>
              <w:ind w:right="144"/>
              <w:jc w:val="center"/>
              <w:rPr>
                <w:sz w:val="22"/>
                <w:szCs w:val="22"/>
              </w:rPr>
            </w:pPr>
            <w:r w:rsidRPr="00A237FB">
              <w:rPr>
                <w:sz w:val="22"/>
                <w:szCs w:val="22"/>
              </w:rPr>
              <w:t>NSPS Excess Emissions Report</w:t>
            </w:r>
          </w:p>
        </w:tc>
        <w:tc>
          <w:tcPr>
            <w:tcW w:w="2655" w:type="dxa"/>
            <w:tcBorders>
              <w:left w:val="single" w:sz="12" w:space="0" w:color="auto"/>
              <w:right w:val="single" w:sz="12" w:space="0" w:color="auto"/>
            </w:tcBorders>
            <w:vAlign w:val="center"/>
          </w:tcPr>
          <w:p w:rsidR="00A237FB" w:rsidRPr="00A237FB" w:rsidRDefault="00A237FB" w:rsidP="00CE3E1B">
            <w:pPr>
              <w:suppressAutoHyphens/>
              <w:spacing w:before="20" w:after="20"/>
              <w:ind w:right="144"/>
              <w:jc w:val="center"/>
              <w:rPr>
                <w:sz w:val="22"/>
                <w:szCs w:val="22"/>
              </w:rPr>
            </w:pPr>
            <w:r w:rsidRPr="00A237FB">
              <w:rPr>
                <w:sz w:val="22"/>
                <w:szCs w:val="22"/>
              </w:rPr>
              <w:t>Semiannual.</w:t>
            </w:r>
          </w:p>
        </w:tc>
        <w:tc>
          <w:tcPr>
            <w:tcW w:w="2430" w:type="dxa"/>
            <w:tcBorders>
              <w:left w:val="single" w:sz="12" w:space="0" w:color="auto"/>
              <w:right w:val="single" w:sz="12" w:space="0" w:color="auto"/>
            </w:tcBorders>
            <w:vAlign w:val="center"/>
          </w:tcPr>
          <w:p w:rsidR="00A237FB" w:rsidRPr="00A237FB" w:rsidRDefault="00A237FB" w:rsidP="00CE3E1B">
            <w:pPr>
              <w:pStyle w:val="BodyText"/>
              <w:spacing w:before="20" w:after="20"/>
              <w:ind w:right="144"/>
              <w:jc w:val="center"/>
              <w:rPr>
                <w:b/>
                <w:sz w:val="22"/>
                <w:szCs w:val="22"/>
              </w:rPr>
            </w:pPr>
            <w:r w:rsidRPr="00A237FB">
              <w:rPr>
                <w:b/>
                <w:strike/>
                <w:sz w:val="22"/>
                <w:szCs w:val="22"/>
                <w:highlight w:val="yellow"/>
              </w:rPr>
              <w:t>D.34</w:t>
            </w:r>
            <w:r w:rsidRPr="00A237FB">
              <w:rPr>
                <w:b/>
                <w:sz w:val="22"/>
                <w:szCs w:val="22"/>
              </w:rPr>
              <w:t xml:space="preserve"> </w:t>
            </w:r>
            <w:r>
              <w:rPr>
                <w:b/>
                <w:sz w:val="22"/>
                <w:szCs w:val="22"/>
                <w:highlight w:val="yellow"/>
                <w:u w:val="double"/>
              </w:rPr>
              <w:t>D.45</w:t>
            </w:r>
          </w:p>
        </w:tc>
      </w:tr>
      <w:tr w:rsidR="00A237FB" w:rsidRPr="00A237FB" w:rsidTr="00A237FB">
        <w:tc>
          <w:tcPr>
            <w:tcW w:w="4320" w:type="dxa"/>
            <w:tcBorders>
              <w:left w:val="single" w:sz="12" w:space="0" w:color="auto"/>
              <w:bottom w:val="single" w:sz="12" w:space="0" w:color="auto"/>
              <w:right w:val="single" w:sz="12" w:space="0" w:color="auto"/>
            </w:tcBorders>
            <w:vAlign w:val="center"/>
          </w:tcPr>
          <w:p w:rsidR="00A237FB" w:rsidRPr="00A237FB" w:rsidRDefault="00A237FB" w:rsidP="00CE3E1B">
            <w:pPr>
              <w:pStyle w:val="BodyText"/>
              <w:spacing w:before="20" w:after="20"/>
              <w:ind w:right="144"/>
              <w:jc w:val="center"/>
              <w:rPr>
                <w:sz w:val="22"/>
                <w:szCs w:val="22"/>
              </w:rPr>
            </w:pPr>
            <w:r w:rsidRPr="00A237FB">
              <w:rPr>
                <w:sz w:val="22"/>
                <w:szCs w:val="22"/>
              </w:rPr>
              <w:t>Quarterly Permit Excess Emission Report</w:t>
            </w:r>
          </w:p>
        </w:tc>
        <w:tc>
          <w:tcPr>
            <w:tcW w:w="2655" w:type="dxa"/>
            <w:tcBorders>
              <w:left w:val="single" w:sz="12" w:space="0" w:color="auto"/>
              <w:bottom w:val="single" w:sz="12" w:space="0" w:color="auto"/>
              <w:right w:val="single" w:sz="12" w:space="0" w:color="auto"/>
            </w:tcBorders>
            <w:vAlign w:val="center"/>
          </w:tcPr>
          <w:p w:rsidR="00A237FB" w:rsidRPr="00A237FB" w:rsidRDefault="00A237FB" w:rsidP="00CE3E1B">
            <w:pPr>
              <w:suppressAutoHyphens/>
              <w:spacing w:before="20" w:after="20"/>
              <w:ind w:right="144"/>
              <w:jc w:val="center"/>
              <w:rPr>
                <w:sz w:val="22"/>
                <w:szCs w:val="22"/>
              </w:rPr>
            </w:pPr>
            <w:r w:rsidRPr="00A237FB">
              <w:rPr>
                <w:strike/>
                <w:sz w:val="22"/>
                <w:szCs w:val="22"/>
                <w:highlight w:val="yellow"/>
              </w:rPr>
              <w:t>Quarterly</w:t>
            </w:r>
            <w:r w:rsidRPr="00A237FB">
              <w:rPr>
                <w:sz w:val="22"/>
                <w:szCs w:val="22"/>
              </w:rPr>
              <w:t xml:space="preserve"> </w:t>
            </w:r>
            <w:r w:rsidRPr="00A237FB">
              <w:rPr>
                <w:sz w:val="22"/>
                <w:szCs w:val="22"/>
                <w:highlight w:val="yellow"/>
                <w:u w:val="double"/>
              </w:rPr>
              <w:t>Semiannual</w:t>
            </w:r>
            <w:r w:rsidRPr="00A237FB">
              <w:rPr>
                <w:sz w:val="22"/>
                <w:szCs w:val="22"/>
              </w:rPr>
              <w:t>.</w:t>
            </w:r>
          </w:p>
        </w:tc>
        <w:tc>
          <w:tcPr>
            <w:tcW w:w="2430" w:type="dxa"/>
            <w:tcBorders>
              <w:left w:val="single" w:sz="12" w:space="0" w:color="auto"/>
              <w:bottom w:val="single" w:sz="12" w:space="0" w:color="auto"/>
              <w:right w:val="single" w:sz="12" w:space="0" w:color="auto"/>
            </w:tcBorders>
            <w:vAlign w:val="center"/>
          </w:tcPr>
          <w:p w:rsidR="00A237FB" w:rsidRPr="00A237FB" w:rsidRDefault="00A237FB" w:rsidP="00CE3E1B">
            <w:pPr>
              <w:pStyle w:val="BodyText"/>
              <w:spacing w:before="20" w:after="20"/>
              <w:ind w:right="144"/>
              <w:jc w:val="center"/>
              <w:rPr>
                <w:b/>
                <w:strike/>
                <w:sz w:val="22"/>
                <w:szCs w:val="22"/>
              </w:rPr>
            </w:pPr>
            <w:r w:rsidRPr="00A237FB">
              <w:rPr>
                <w:b/>
                <w:strike/>
                <w:sz w:val="22"/>
                <w:szCs w:val="22"/>
                <w:highlight w:val="yellow"/>
              </w:rPr>
              <w:t>D.35</w:t>
            </w:r>
            <w:r w:rsidRPr="00A237FB">
              <w:rPr>
                <w:b/>
                <w:sz w:val="22"/>
                <w:szCs w:val="22"/>
              </w:rPr>
              <w:t xml:space="preserve"> </w:t>
            </w:r>
            <w:r w:rsidRPr="00A237FB">
              <w:rPr>
                <w:b/>
                <w:sz w:val="22"/>
                <w:szCs w:val="22"/>
                <w:highlight w:val="yellow"/>
                <w:u w:val="double"/>
              </w:rPr>
              <w:t>D.46</w:t>
            </w:r>
            <w:r w:rsidRPr="00A237FB">
              <w:rPr>
                <w:b/>
                <w:sz w:val="22"/>
                <w:szCs w:val="22"/>
                <w:highlight w:val="yellow"/>
                <w:u w:val="double"/>
              </w:rPr>
              <w:fldChar w:fldCharType="begin"/>
            </w:r>
            <w:r w:rsidRPr="00A237FB">
              <w:rPr>
                <w:b/>
                <w:sz w:val="22"/>
                <w:szCs w:val="22"/>
                <w:highlight w:val="yellow"/>
                <w:u w:val="double"/>
              </w:rPr>
              <w:instrText xml:space="preserve"> REF _Ref503879814 \r \h  \* MERGEFORMAT </w:instrText>
            </w:r>
            <w:r w:rsidRPr="00A237FB">
              <w:rPr>
                <w:b/>
                <w:sz w:val="22"/>
                <w:szCs w:val="22"/>
                <w:highlight w:val="yellow"/>
                <w:u w:val="double"/>
              </w:rPr>
            </w:r>
            <w:r w:rsidRPr="00A237FB">
              <w:rPr>
                <w:b/>
                <w:sz w:val="22"/>
                <w:szCs w:val="22"/>
                <w:highlight w:val="yellow"/>
                <w:u w:val="double"/>
              </w:rPr>
              <w:fldChar w:fldCharType="separate"/>
            </w:r>
            <w:r w:rsidR="00C76A61">
              <w:rPr>
                <w:b/>
                <w:sz w:val="22"/>
                <w:szCs w:val="22"/>
                <w:highlight w:val="yellow"/>
                <w:u w:val="double"/>
              </w:rPr>
              <w:t>D.46</w:t>
            </w:r>
            <w:r w:rsidRPr="00A237FB">
              <w:rPr>
                <w:b/>
                <w:sz w:val="22"/>
                <w:szCs w:val="22"/>
                <w:highlight w:val="yellow"/>
                <w:u w:val="double"/>
              </w:rPr>
              <w:fldChar w:fldCharType="end"/>
            </w:r>
          </w:p>
        </w:tc>
      </w:tr>
    </w:tbl>
    <w:p w:rsidR="00A237FB" w:rsidRPr="00A237FB" w:rsidRDefault="00A237FB" w:rsidP="00A237FB">
      <w:pPr>
        <w:tabs>
          <w:tab w:val="left" w:pos="0"/>
          <w:tab w:val="left" w:pos="1080"/>
          <w:tab w:val="left" w:pos="1260"/>
        </w:tabs>
        <w:spacing w:before="60" w:after="120"/>
        <w:ind w:left="900"/>
        <w:rPr>
          <w:sz w:val="22"/>
          <w:szCs w:val="22"/>
        </w:rPr>
      </w:pPr>
      <w:r w:rsidRPr="00A237FB">
        <w:rPr>
          <w:sz w:val="22"/>
          <w:szCs w:val="22"/>
        </w:rPr>
        <w:t>[Rule 62-213.440(1)(b), F.A.C.]</w:t>
      </w:r>
    </w:p>
    <w:p w:rsidR="00A237FB" w:rsidRDefault="00A237FB" w:rsidP="00A237FB">
      <w:pPr>
        <w:pStyle w:val="ListParagraph"/>
        <w:numPr>
          <w:ilvl w:val="0"/>
          <w:numId w:val="1"/>
        </w:numPr>
        <w:tabs>
          <w:tab w:val="left" w:pos="360"/>
        </w:tabs>
        <w:spacing w:after="120"/>
        <w:contextualSpacing w:val="0"/>
        <w:rPr>
          <w:sz w:val="22"/>
          <w:szCs w:val="22"/>
        </w:rPr>
      </w:pPr>
      <w:r>
        <w:rPr>
          <w:sz w:val="22"/>
          <w:szCs w:val="22"/>
        </w:rPr>
        <w:t xml:space="preserve">To reflect revisions made in Permit No. 0850001-041-AC/PSD-FL-146J and 327G, Specific Condition </w:t>
      </w:r>
      <w:r>
        <w:rPr>
          <w:b/>
          <w:sz w:val="22"/>
          <w:szCs w:val="22"/>
        </w:rPr>
        <w:t>D.46</w:t>
      </w:r>
      <w:r>
        <w:rPr>
          <w:sz w:val="22"/>
          <w:szCs w:val="22"/>
        </w:rPr>
        <w:t xml:space="preserve"> (formerly </w:t>
      </w:r>
      <w:r>
        <w:rPr>
          <w:b/>
          <w:sz w:val="22"/>
          <w:szCs w:val="22"/>
        </w:rPr>
        <w:t>D.34</w:t>
      </w:r>
      <w:r>
        <w:rPr>
          <w:sz w:val="22"/>
          <w:szCs w:val="22"/>
        </w:rPr>
        <w:t xml:space="preserve"> has been revised as follows):</w:t>
      </w:r>
    </w:p>
    <w:p w:rsidR="00A237FB" w:rsidRPr="00CE3E1B" w:rsidRDefault="00A237FB" w:rsidP="00CE3E1B">
      <w:pPr>
        <w:pStyle w:val="ListParagraph"/>
        <w:numPr>
          <w:ilvl w:val="0"/>
          <w:numId w:val="94"/>
        </w:numPr>
        <w:tabs>
          <w:tab w:val="left" w:pos="1080"/>
        </w:tabs>
        <w:spacing w:before="120" w:after="120"/>
        <w:ind w:left="720"/>
        <w:contextualSpacing w:val="0"/>
        <w:rPr>
          <w:rFonts w:eastAsia="Calibri"/>
          <w:sz w:val="22"/>
          <w:szCs w:val="22"/>
          <w:u w:val="single"/>
        </w:rPr>
      </w:pPr>
      <w:bookmarkStart w:id="66" w:name="_Ref503879814"/>
      <w:r w:rsidRPr="00A237FB">
        <w:rPr>
          <w:strike/>
          <w:sz w:val="22"/>
          <w:szCs w:val="22"/>
          <w:highlight w:val="yellow"/>
          <w:u w:val="single"/>
        </w:rPr>
        <w:t>Quarterly</w:t>
      </w:r>
      <w:r w:rsidRPr="00A237FB">
        <w:rPr>
          <w:sz w:val="22"/>
          <w:szCs w:val="22"/>
          <w:u w:val="single"/>
        </w:rPr>
        <w:t xml:space="preserve"> </w:t>
      </w:r>
      <w:r w:rsidRPr="00A237FB">
        <w:rPr>
          <w:sz w:val="22"/>
          <w:szCs w:val="22"/>
          <w:highlight w:val="yellow"/>
          <w:u w:val="double"/>
        </w:rPr>
        <w:t>Semiannual</w:t>
      </w:r>
      <w:r w:rsidRPr="00A237FB">
        <w:rPr>
          <w:sz w:val="22"/>
          <w:szCs w:val="22"/>
          <w:u w:val="single"/>
        </w:rPr>
        <w:t xml:space="preserve"> Permit Excess Emission Report</w:t>
      </w:r>
      <w:r w:rsidRPr="00A237FB">
        <w:rPr>
          <w:sz w:val="22"/>
          <w:szCs w:val="22"/>
        </w:rPr>
        <w:t xml:space="preserve">:  Within 30 days following the end of each </w:t>
      </w:r>
      <w:r w:rsidRPr="00A237FB">
        <w:rPr>
          <w:strike/>
          <w:sz w:val="22"/>
          <w:szCs w:val="22"/>
          <w:highlight w:val="yellow"/>
        </w:rPr>
        <w:t>quarter</w:t>
      </w:r>
      <w:r w:rsidRPr="00A237FB">
        <w:rPr>
          <w:sz w:val="22"/>
          <w:szCs w:val="22"/>
          <w:highlight w:val="yellow"/>
        </w:rPr>
        <w:t xml:space="preserve"> </w:t>
      </w:r>
      <w:r w:rsidRPr="00A237FB">
        <w:rPr>
          <w:sz w:val="22"/>
          <w:szCs w:val="22"/>
          <w:highlight w:val="yellow"/>
          <w:u w:val="double"/>
        </w:rPr>
        <w:t>6-month period in a calendar year</w:t>
      </w:r>
      <w:r w:rsidRPr="00A237FB">
        <w:rPr>
          <w:sz w:val="22"/>
          <w:szCs w:val="22"/>
        </w:rPr>
        <w:t xml:space="preserve">, the permittee shall submit a report to the Compliance Authority summarizing periods of excess CO </w:t>
      </w:r>
      <w:r w:rsidRPr="00A237FB">
        <w:rPr>
          <w:sz w:val="22"/>
          <w:szCs w:val="22"/>
          <w:highlight w:val="yellow"/>
          <w:u w:val="double"/>
        </w:rPr>
        <w:t>(if the option to use a CO CEMS is chosen)</w:t>
      </w:r>
      <w:r w:rsidRPr="00A237FB">
        <w:rPr>
          <w:sz w:val="22"/>
          <w:szCs w:val="22"/>
        </w:rPr>
        <w:t xml:space="preserve"> and NOx emissions.  Such information shall also be summarized for combined cycle startups, combined cycle shutdowns, malfunctions</w:t>
      </w:r>
      <w:r w:rsidRPr="00A237FB">
        <w:rPr>
          <w:strike/>
          <w:sz w:val="22"/>
          <w:szCs w:val="22"/>
          <w:highlight w:val="yellow"/>
        </w:rPr>
        <w:t>,</w:t>
      </w:r>
      <w:r w:rsidRPr="00A237FB">
        <w:rPr>
          <w:sz w:val="22"/>
          <w:szCs w:val="22"/>
        </w:rPr>
        <w:t xml:space="preserve"> and major tuning sessions.  In addition, the report shall summarize the CEMS systems monitor availability for the previous quarter.  [Rules 62-4.130, 62-204.800, 62-210.700(6), F.A.C.; </w:t>
      </w:r>
      <w:r w:rsidRPr="00A237FB">
        <w:rPr>
          <w:strike/>
          <w:sz w:val="22"/>
          <w:szCs w:val="22"/>
          <w:highlight w:val="yellow"/>
        </w:rPr>
        <w:t>and</w:t>
      </w:r>
      <w:r w:rsidRPr="00A237FB">
        <w:rPr>
          <w:sz w:val="22"/>
          <w:szCs w:val="22"/>
        </w:rPr>
        <w:t xml:space="preserve"> 40 CFR 60.7</w:t>
      </w:r>
      <w:r w:rsidRPr="00A237FB">
        <w:rPr>
          <w:sz w:val="22"/>
          <w:szCs w:val="22"/>
          <w:highlight w:val="yellow"/>
          <w:u w:val="double"/>
        </w:rPr>
        <w:t>;</w:t>
      </w:r>
      <w:r w:rsidRPr="00A237FB">
        <w:rPr>
          <w:sz w:val="22"/>
          <w:szCs w:val="22"/>
        </w:rPr>
        <w:t xml:space="preserve"> and</w:t>
      </w:r>
      <w:r w:rsidRPr="00A237FB">
        <w:rPr>
          <w:sz w:val="22"/>
          <w:szCs w:val="22"/>
          <w:highlight w:val="yellow"/>
          <w:u w:val="double"/>
        </w:rPr>
        <w:t>,</w:t>
      </w:r>
      <w:r w:rsidRPr="00A237FB">
        <w:rPr>
          <w:sz w:val="22"/>
          <w:szCs w:val="22"/>
        </w:rPr>
        <w:t xml:space="preserve"> Permit No. 0850001-010-AC</w:t>
      </w:r>
      <w:r w:rsidRPr="00A237FB">
        <w:rPr>
          <w:sz w:val="22"/>
          <w:szCs w:val="22"/>
          <w:highlight w:val="yellow"/>
          <w:u w:val="double"/>
        </w:rPr>
        <w:t>/</w:t>
      </w:r>
      <w:r w:rsidRPr="00A237FB">
        <w:rPr>
          <w:strike/>
          <w:sz w:val="22"/>
          <w:szCs w:val="22"/>
          <w:highlight w:val="yellow"/>
        </w:rPr>
        <w:t>(</w:t>
      </w:r>
      <w:r w:rsidRPr="00A237FB">
        <w:rPr>
          <w:sz w:val="22"/>
          <w:szCs w:val="22"/>
        </w:rPr>
        <w:t>PSD-FL-327</w:t>
      </w:r>
      <w:r w:rsidRPr="00A237FB">
        <w:rPr>
          <w:strike/>
          <w:sz w:val="22"/>
          <w:szCs w:val="22"/>
          <w:highlight w:val="yellow"/>
        </w:rPr>
        <w:t>)</w:t>
      </w:r>
      <w:bookmarkEnd w:id="66"/>
      <w:r w:rsidRPr="00A237FB">
        <w:rPr>
          <w:sz w:val="22"/>
          <w:szCs w:val="22"/>
        </w:rPr>
        <w:t xml:space="preserve"> </w:t>
      </w:r>
      <w:r w:rsidRPr="00A237FB">
        <w:rPr>
          <w:sz w:val="22"/>
          <w:szCs w:val="22"/>
          <w:highlight w:val="yellow"/>
          <w:u w:val="double"/>
        </w:rPr>
        <w:t>&amp; 0850001-041-AC/PSD-FL-146J &amp; 327G</w:t>
      </w:r>
      <w:r w:rsidRPr="00A237FB">
        <w:rPr>
          <w:sz w:val="22"/>
          <w:szCs w:val="22"/>
        </w:rPr>
        <w:t>]</w:t>
      </w:r>
    </w:p>
    <w:p w:rsidR="00CE3E1B" w:rsidRDefault="00CE3E1B" w:rsidP="00CE3E1B">
      <w:pPr>
        <w:tabs>
          <w:tab w:val="left" w:pos="360"/>
        </w:tabs>
        <w:spacing w:after="120"/>
        <w:rPr>
          <w:rFonts w:eastAsia="Calibri"/>
          <w:sz w:val="22"/>
          <w:szCs w:val="22"/>
        </w:rPr>
      </w:pPr>
      <w:r>
        <w:rPr>
          <w:rFonts w:eastAsia="Calibri"/>
          <w:b/>
          <w:sz w:val="22"/>
          <w:szCs w:val="22"/>
          <w:u w:val="single"/>
        </w:rPr>
        <w:t>Changes to Section III., Subsection E</w:t>
      </w:r>
    </w:p>
    <w:p w:rsidR="00CE3E1B" w:rsidRDefault="00CE3E1B" w:rsidP="00CE3E1B">
      <w:pPr>
        <w:pStyle w:val="ListParagraph"/>
        <w:numPr>
          <w:ilvl w:val="0"/>
          <w:numId w:val="1"/>
        </w:numPr>
        <w:tabs>
          <w:tab w:val="left" w:pos="360"/>
        </w:tabs>
        <w:spacing w:after="120"/>
        <w:contextualSpacing w:val="0"/>
        <w:rPr>
          <w:rFonts w:eastAsia="Calibri"/>
          <w:sz w:val="22"/>
          <w:szCs w:val="22"/>
        </w:rPr>
      </w:pPr>
      <w:r>
        <w:rPr>
          <w:rFonts w:eastAsia="Calibri"/>
          <w:sz w:val="22"/>
          <w:szCs w:val="22"/>
        </w:rPr>
        <w:t>Startup date, rule applicability and EU description were added as follows:</w:t>
      </w:r>
    </w:p>
    <w:p w:rsidR="00CE3E1B" w:rsidRPr="00CE3E1B" w:rsidRDefault="00CE3E1B" w:rsidP="00CE3E1B">
      <w:pPr>
        <w:tabs>
          <w:tab w:val="left" w:pos="1440"/>
        </w:tabs>
        <w:spacing w:before="120" w:after="120"/>
        <w:ind w:left="360"/>
        <w:rPr>
          <w:color w:val="000000"/>
          <w:sz w:val="22"/>
          <w:szCs w:val="22"/>
          <w:highlight w:val="yellow"/>
          <w:u w:val="double"/>
        </w:rPr>
      </w:pPr>
      <w:r w:rsidRPr="00CE3E1B">
        <w:rPr>
          <w:color w:val="000000"/>
          <w:sz w:val="22"/>
          <w:szCs w:val="22"/>
          <w:highlight w:val="yellow"/>
          <w:u w:val="double"/>
        </w:rPr>
        <w:t xml:space="preserve">This emissions unit is a 22-Cell Mechanical Draft Cooling Tower that commenced operation on December 10, 2004.  </w:t>
      </w:r>
    </w:p>
    <w:p w:rsidR="00CE3E1B" w:rsidRDefault="00CE3E1B" w:rsidP="00CE3E1B">
      <w:pPr>
        <w:tabs>
          <w:tab w:val="left" w:pos="1440"/>
        </w:tabs>
        <w:spacing w:before="120" w:after="120"/>
        <w:ind w:left="360"/>
        <w:rPr>
          <w:i/>
          <w:color w:val="000000"/>
          <w:sz w:val="22"/>
          <w:szCs w:val="22"/>
          <w:highlight w:val="yellow"/>
          <w:u w:val="double"/>
        </w:rPr>
      </w:pPr>
      <w:r w:rsidRPr="00CE3E1B">
        <w:rPr>
          <w:i/>
          <w:color w:val="000000"/>
          <w:sz w:val="22"/>
          <w:szCs w:val="22"/>
          <w:highlight w:val="yellow"/>
          <w:u w:val="double"/>
        </w:rPr>
        <w:t>{Permitting Note:  This unit is subject to Rule 62-212.400, F.A.C., BACT for PM/PM</w:t>
      </w:r>
      <w:r w:rsidRPr="00CE3E1B">
        <w:rPr>
          <w:i/>
          <w:color w:val="000000"/>
          <w:sz w:val="22"/>
          <w:szCs w:val="22"/>
          <w:highlight w:val="yellow"/>
          <w:u w:val="double"/>
          <w:vertAlign w:val="subscript"/>
        </w:rPr>
        <w:t>10</w:t>
      </w:r>
      <w:r w:rsidRPr="00CE3E1B">
        <w:rPr>
          <w:i/>
          <w:color w:val="000000"/>
          <w:sz w:val="22"/>
          <w:szCs w:val="22"/>
          <w:highlight w:val="yellow"/>
          <w:u w:val="double"/>
        </w:rPr>
        <w:t>}</w:t>
      </w:r>
    </w:p>
    <w:p w:rsidR="000554B9" w:rsidRDefault="000554B9" w:rsidP="000554B9">
      <w:pPr>
        <w:tabs>
          <w:tab w:val="left" w:pos="1440"/>
        </w:tabs>
        <w:spacing w:before="120" w:after="120"/>
        <w:rPr>
          <w:color w:val="000000"/>
          <w:sz w:val="22"/>
          <w:szCs w:val="22"/>
        </w:rPr>
      </w:pPr>
      <w:r>
        <w:rPr>
          <w:b/>
          <w:color w:val="000000"/>
          <w:sz w:val="22"/>
          <w:szCs w:val="22"/>
          <w:u w:val="single"/>
        </w:rPr>
        <w:t>Changes to Section III., Subsection F</w:t>
      </w:r>
    </w:p>
    <w:p w:rsidR="00B72340" w:rsidRDefault="00E622A6" w:rsidP="000554B9">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A permitting note was marked by numbered item </w:t>
      </w:r>
      <w:r>
        <w:rPr>
          <w:b/>
          <w:color w:val="000000"/>
          <w:sz w:val="22"/>
          <w:szCs w:val="22"/>
        </w:rPr>
        <w:t>F.5</w:t>
      </w:r>
      <w:r>
        <w:rPr>
          <w:color w:val="000000"/>
          <w:sz w:val="22"/>
          <w:szCs w:val="22"/>
        </w:rPr>
        <w:t>.  This item has been deleted.  The permitting note remains, otherwise, unchanged.</w:t>
      </w:r>
    </w:p>
    <w:p w:rsidR="00212FE8" w:rsidRPr="00212FE8" w:rsidRDefault="00212FE8" w:rsidP="00212FE8">
      <w:pPr>
        <w:tabs>
          <w:tab w:val="left" w:pos="360"/>
        </w:tabs>
        <w:spacing w:after="120"/>
        <w:rPr>
          <w:b/>
          <w:color w:val="000000"/>
          <w:sz w:val="22"/>
          <w:szCs w:val="22"/>
          <w:u w:val="single"/>
        </w:rPr>
      </w:pPr>
      <w:r>
        <w:rPr>
          <w:b/>
          <w:color w:val="000000"/>
          <w:sz w:val="22"/>
          <w:szCs w:val="22"/>
          <w:u w:val="single"/>
        </w:rPr>
        <w:t>Changes to Section III., Subsection G</w:t>
      </w:r>
    </w:p>
    <w:p w:rsidR="00E622A6" w:rsidRDefault="00C44505" w:rsidP="000554B9">
      <w:pPr>
        <w:pStyle w:val="ListParagraph"/>
        <w:numPr>
          <w:ilvl w:val="0"/>
          <w:numId w:val="1"/>
        </w:numPr>
        <w:tabs>
          <w:tab w:val="left" w:pos="360"/>
        </w:tabs>
        <w:spacing w:after="120"/>
        <w:contextualSpacing w:val="0"/>
        <w:rPr>
          <w:color w:val="000000"/>
          <w:sz w:val="22"/>
          <w:szCs w:val="22"/>
        </w:rPr>
      </w:pPr>
      <w:r>
        <w:rPr>
          <w:color w:val="000000"/>
          <w:sz w:val="22"/>
          <w:szCs w:val="22"/>
        </w:rPr>
        <w:t>The EU description has been revised as follows:</w:t>
      </w:r>
    </w:p>
    <w:p w:rsidR="00C44505" w:rsidRPr="00C44505" w:rsidRDefault="00C44505" w:rsidP="00C44505">
      <w:pPr>
        <w:tabs>
          <w:tab w:val="left" w:pos="1440"/>
        </w:tabs>
        <w:spacing w:before="120" w:after="120"/>
        <w:ind w:left="360"/>
        <w:rPr>
          <w:color w:val="000000"/>
          <w:sz w:val="22"/>
          <w:szCs w:val="22"/>
          <w:u w:val="double"/>
        </w:rPr>
      </w:pPr>
      <w:r w:rsidRPr="00C44505">
        <w:rPr>
          <w:color w:val="000000"/>
          <w:sz w:val="22"/>
          <w:szCs w:val="22"/>
          <w:highlight w:val="yellow"/>
          <w:u w:val="double"/>
        </w:rPr>
        <w:t>This emissions unit is a diesel engine-driven emergency fire pump that services Martin Unit 8.</w:t>
      </w:r>
      <w:r w:rsidR="00B72340">
        <w:rPr>
          <w:color w:val="000000"/>
          <w:sz w:val="22"/>
          <w:szCs w:val="22"/>
          <w:highlight w:val="yellow"/>
          <w:u w:val="double"/>
        </w:rPr>
        <w:t xml:space="preserve">  </w:t>
      </w:r>
      <w:r w:rsidR="00B72340" w:rsidRPr="00B72340">
        <w:rPr>
          <w:color w:val="000000"/>
          <w:sz w:val="22"/>
          <w:szCs w:val="22"/>
          <w:highlight w:val="yellow"/>
          <w:u w:val="double"/>
        </w:rPr>
        <w:t>Exhaust gas exits a stack that is 6 ft high and 0.33 ft in diameter.</w:t>
      </w:r>
      <w:r w:rsidRPr="00C44505">
        <w:rPr>
          <w:color w:val="000000"/>
          <w:sz w:val="22"/>
          <w:szCs w:val="22"/>
          <w:highlight w:val="yellow"/>
          <w:u w:val="double"/>
        </w:rPr>
        <w:t xml:space="preserve">  The following table provides important details for this emissions unit:</w:t>
      </w:r>
    </w:p>
    <w:tbl>
      <w:tblPr>
        <w:tblW w:w="97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530"/>
        <w:gridCol w:w="900"/>
        <w:gridCol w:w="1080"/>
        <w:gridCol w:w="1260"/>
        <w:gridCol w:w="1530"/>
        <w:gridCol w:w="1710"/>
      </w:tblGrid>
      <w:tr w:rsidR="00C44505" w:rsidRPr="00C44505" w:rsidTr="00C44505">
        <w:trPr>
          <w:trHeight w:val="489"/>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b/>
                <w:color w:val="000000"/>
                <w:sz w:val="22"/>
                <w:szCs w:val="22"/>
              </w:rPr>
            </w:pPr>
            <w:r w:rsidRPr="00C44505">
              <w:rPr>
                <w:b/>
                <w:color w:val="000000"/>
                <w:sz w:val="22"/>
                <w:szCs w:val="22"/>
              </w:rPr>
              <w:t>E.U. ID No.</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b/>
                <w:color w:val="000000"/>
                <w:sz w:val="22"/>
                <w:szCs w:val="22"/>
              </w:rPr>
              <w:t>Engine Brake HP</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b/>
                <w:color w:val="000000"/>
                <w:sz w:val="22"/>
                <w:szCs w:val="22"/>
              </w:rPr>
              <w:t>Date of Construction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b/>
                <w:color w:val="000000"/>
                <w:sz w:val="22"/>
                <w:szCs w:val="22"/>
              </w:rPr>
            </w:pPr>
            <w:r w:rsidRPr="00C44505">
              <w:rPr>
                <w:b/>
                <w:color w:val="000000"/>
                <w:sz w:val="22"/>
                <w:szCs w:val="22"/>
              </w:rPr>
              <w:t>Model Year</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b/>
                <w:color w:val="000000"/>
                <w:sz w:val="22"/>
                <w:szCs w:val="22"/>
              </w:rPr>
              <w:t>Primary Fuel</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b/>
                <w:color w:val="000000"/>
                <w:sz w:val="22"/>
                <w:szCs w:val="22"/>
              </w:rPr>
            </w:pPr>
            <w:r w:rsidRPr="00C44505">
              <w:rPr>
                <w:b/>
                <w:color w:val="000000"/>
                <w:sz w:val="22"/>
                <w:szCs w:val="22"/>
              </w:rPr>
              <w:t>Type of Engine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b/>
                <w:color w:val="000000"/>
                <w:sz w:val="22"/>
                <w:szCs w:val="22"/>
              </w:rPr>
              <w:t>Displacement liters/cylinder (l/c)</w:t>
            </w:r>
          </w:p>
        </w:tc>
        <w:tc>
          <w:tcPr>
            <w:tcW w:w="1710" w:type="dxa"/>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b/>
                <w:color w:val="000000"/>
                <w:sz w:val="22"/>
                <w:szCs w:val="22"/>
              </w:rPr>
            </w:pPr>
            <w:r w:rsidRPr="00C44505">
              <w:rPr>
                <w:b/>
                <w:color w:val="000000"/>
                <w:sz w:val="22"/>
                <w:szCs w:val="22"/>
              </w:rPr>
              <w:t>Manufacturer</w:t>
            </w:r>
          </w:p>
        </w:tc>
      </w:tr>
      <w:tr w:rsidR="00C44505" w:rsidRPr="00C44505" w:rsidTr="00C44505">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b/>
                <w:color w:val="000000"/>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b/>
                <w:color w:val="00000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b/>
                <w:color w:val="000000"/>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b/>
                <w:color w:val="000000"/>
                <w:sz w:val="22"/>
                <w:szCs w:val="22"/>
              </w:rPr>
            </w:pPr>
            <w:r w:rsidRPr="00C44505">
              <w:rPr>
                <w:b/>
                <w:color w:val="000000"/>
                <w:sz w:val="22"/>
                <w:szCs w:val="22"/>
              </w:rPr>
              <w:t>Model #</w:t>
            </w:r>
          </w:p>
        </w:tc>
      </w:tr>
      <w:tr w:rsidR="00C44505" w:rsidRPr="00C44505" w:rsidTr="00C44505">
        <w:trPr>
          <w:trHeight w:val="332"/>
        </w:trPr>
        <w:tc>
          <w:tcPr>
            <w:tcW w:w="81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b/>
                <w:color w:val="000000"/>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b/>
                <w:color w:val="00000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b/>
                <w:color w:val="000000"/>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b/>
                <w:color w:val="000000"/>
                <w:sz w:val="22"/>
                <w:szCs w:val="22"/>
              </w:rPr>
            </w:pPr>
            <w:r w:rsidRPr="00C44505">
              <w:rPr>
                <w:b/>
                <w:color w:val="000000"/>
                <w:sz w:val="22"/>
                <w:szCs w:val="22"/>
              </w:rPr>
              <w:t>Engine Serial #</w:t>
            </w:r>
          </w:p>
        </w:tc>
      </w:tr>
      <w:tr w:rsidR="00C44505" w:rsidRPr="00C44505" w:rsidTr="00C44505">
        <w:trPr>
          <w:trHeight w:val="96"/>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022</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197</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2015</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2015</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Diesel</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Emergency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1.13</w:t>
            </w:r>
          </w:p>
        </w:tc>
        <w:tc>
          <w:tcPr>
            <w:tcW w:w="1710" w:type="dxa"/>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John Deere®</w:t>
            </w:r>
          </w:p>
        </w:tc>
      </w:tr>
      <w:tr w:rsidR="00C44505" w:rsidRPr="00C44505" w:rsidTr="00C44505">
        <w:trPr>
          <w:trHeight w:val="129"/>
        </w:trPr>
        <w:tc>
          <w:tcPr>
            <w:tcW w:w="81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JU6H-UFADN0</w:t>
            </w:r>
          </w:p>
        </w:tc>
      </w:tr>
      <w:tr w:rsidR="00C44505" w:rsidRPr="00C44505" w:rsidTr="00C44505">
        <w:trPr>
          <w:trHeight w:val="240"/>
        </w:trPr>
        <w:tc>
          <w:tcPr>
            <w:tcW w:w="81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rPr>
                <w:color w:val="000000"/>
                <w:sz w:val="22"/>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C44505" w:rsidRPr="00C44505" w:rsidRDefault="00C44505">
            <w:pPr>
              <w:tabs>
                <w:tab w:val="left" w:pos="1440"/>
              </w:tabs>
              <w:spacing w:before="120"/>
              <w:rPr>
                <w:color w:val="000000"/>
                <w:sz w:val="22"/>
                <w:szCs w:val="22"/>
              </w:rPr>
            </w:pPr>
            <w:r w:rsidRPr="00C44505">
              <w:rPr>
                <w:color w:val="000000"/>
                <w:sz w:val="22"/>
                <w:szCs w:val="22"/>
              </w:rPr>
              <w:t>-</w:t>
            </w:r>
          </w:p>
        </w:tc>
      </w:tr>
    </w:tbl>
    <w:p w:rsidR="00C44505" w:rsidRDefault="00C44505" w:rsidP="00C44505">
      <w:pPr>
        <w:pStyle w:val="ListParagraph"/>
        <w:tabs>
          <w:tab w:val="left" w:pos="360"/>
        </w:tabs>
        <w:spacing w:before="120" w:after="120"/>
        <w:ind w:left="360"/>
        <w:contextualSpacing w:val="0"/>
        <w:rPr>
          <w:i/>
          <w:color w:val="000000"/>
          <w:sz w:val="22"/>
          <w:szCs w:val="22"/>
        </w:rPr>
      </w:pPr>
      <w:r w:rsidRPr="00C44505">
        <w:rPr>
          <w:i/>
          <w:color w:val="000000"/>
          <w:sz w:val="22"/>
          <w:szCs w:val="22"/>
        </w:rPr>
        <w:t xml:space="preserve">{Permitting note:  </w:t>
      </w:r>
      <w:r w:rsidRPr="00C44505">
        <w:rPr>
          <w:i/>
          <w:color w:val="000000"/>
          <w:sz w:val="22"/>
          <w:szCs w:val="22"/>
          <w:highlight w:val="yellow"/>
          <w:u w:val="double"/>
        </w:rPr>
        <w:t>This compression ignition (CI) internal combustion engine (ICE) is regulated under:  40 CFR 60, Subpart A, General Provisions, and 40 CFR 60, Subpart IIII, NSPS for Stationary CI ICE, adopted by reference in Rule 62-204.800(8)(d) and (8)(b)82., F.A.C., respectively; and 40 CFR 63, Subpart A, General Provisions, and 40 CFR 63, Subpart ZZZZ, NESHAP for Stationary Reciprocating Internal Combustion Engines (RICE), adopted by reference in Rule 62-204.800(11)(d) and (11)(b)82., F.A.C., respectively.  This subsection of the permit addresses a stationary CI RICE of model year 2007 or later, with a displacement of less than 10 liters per cylinder.  In accordance with the provisions of 40 CFR 63.6590(c)(1), meeting the requirements of 40 CFR 60, Subpart IIII, satisfies compliance with the requirements of 40 CFR 63, Subpart ZZZZ.</w:t>
      </w:r>
      <w:r w:rsidRPr="00C44505">
        <w:rPr>
          <w:i/>
          <w:color w:val="000000"/>
          <w:sz w:val="22"/>
          <w:szCs w:val="22"/>
        </w:rPr>
        <w:t xml:space="preserve">  </w:t>
      </w:r>
      <w:r w:rsidRPr="00C44505">
        <w:rPr>
          <w:i/>
          <w:strike/>
          <w:color w:val="000000"/>
          <w:sz w:val="22"/>
          <w:szCs w:val="22"/>
          <w:highlight w:val="yellow"/>
        </w:rPr>
        <w:t>This part of the subsection addresses “new” stationary CI RICE less than 175 HP, with a displacement less than 10 liters per cylinder, that are located at a major source of HAP and that have been modified, reconstructed or commenced construction on or after 6/12/2006 and have a 2007 or later model year. This RICE is used as a fire pump.</w:t>
      </w:r>
      <w:r w:rsidRPr="00C44505">
        <w:rPr>
          <w:i/>
          <w:color w:val="000000"/>
          <w:sz w:val="22"/>
          <w:szCs w:val="22"/>
        </w:rPr>
        <w:t>}</w:t>
      </w:r>
    </w:p>
    <w:p w:rsidR="0097531D" w:rsidRDefault="0097531D" w:rsidP="0097531D">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Specific Condition </w:t>
      </w:r>
      <w:r>
        <w:rPr>
          <w:b/>
          <w:color w:val="000000"/>
          <w:sz w:val="22"/>
          <w:szCs w:val="22"/>
        </w:rPr>
        <w:t>G.1</w:t>
      </w:r>
      <w:r>
        <w:rPr>
          <w:color w:val="000000"/>
          <w:sz w:val="22"/>
          <w:szCs w:val="22"/>
        </w:rPr>
        <w:t xml:space="preserve"> is redundant.  NSPS and NESHAP applicability is addressed in the permitting note under the EU description.</w:t>
      </w:r>
    </w:p>
    <w:p w:rsidR="0097531D" w:rsidRDefault="0097531D" w:rsidP="0097531D">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Minor corrections were made to Specific Condition </w:t>
      </w:r>
      <w:r>
        <w:rPr>
          <w:b/>
          <w:color w:val="000000"/>
          <w:sz w:val="22"/>
          <w:szCs w:val="22"/>
        </w:rPr>
        <w:t>G.2</w:t>
      </w:r>
      <w:r>
        <w:rPr>
          <w:color w:val="000000"/>
          <w:sz w:val="22"/>
          <w:szCs w:val="22"/>
        </w:rPr>
        <w:t>, to reflect provisions from NSPS Subpart IIII and minor clarifications.  The revisions were made as follows:</w:t>
      </w:r>
    </w:p>
    <w:p w:rsidR="0097531D" w:rsidRPr="0097531D" w:rsidRDefault="0097531D" w:rsidP="00956930">
      <w:pPr>
        <w:numPr>
          <w:ilvl w:val="0"/>
          <w:numId w:val="96"/>
        </w:numPr>
        <w:tabs>
          <w:tab w:val="left" w:pos="1080"/>
          <w:tab w:val="left" w:pos="1440"/>
        </w:tabs>
        <w:rPr>
          <w:sz w:val="22"/>
          <w:szCs w:val="22"/>
        </w:rPr>
      </w:pPr>
      <w:r w:rsidRPr="0097531D">
        <w:rPr>
          <w:sz w:val="22"/>
          <w:szCs w:val="22"/>
          <w:u w:val="single"/>
        </w:rPr>
        <w:t>Allowable Fuel</w:t>
      </w:r>
      <w:r w:rsidRPr="0097531D">
        <w:rPr>
          <w:i/>
          <w:sz w:val="22"/>
          <w:szCs w:val="22"/>
        </w:rPr>
        <w:t xml:space="preserve">.  </w:t>
      </w:r>
      <w:r w:rsidRPr="0097531D">
        <w:rPr>
          <w:color w:val="000000"/>
          <w:sz w:val="22"/>
          <w:szCs w:val="22"/>
        </w:rPr>
        <w:t>The stationary RICE must use diesel fuel that meets the following requirements for non-road diesel fuel:</w:t>
      </w:r>
    </w:p>
    <w:p w:rsidR="0097531D" w:rsidRPr="0097531D" w:rsidRDefault="0097531D" w:rsidP="00956930">
      <w:pPr>
        <w:numPr>
          <w:ilvl w:val="0"/>
          <w:numId w:val="95"/>
        </w:numPr>
        <w:tabs>
          <w:tab w:val="left" w:pos="360"/>
        </w:tabs>
        <w:rPr>
          <w:sz w:val="22"/>
          <w:szCs w:val="22"/>
        </w:rPr>
      </w:pPr>
      <w:r w:rsidRPr="0097531D">
        <w:rPr>
          <w:i/>
          <w:color w:val="000000"/>
          <w:sz w:val="22"/>
          <w:szCs w:val="22"/>
        </w:rPr>
        <w:t>Sulfur Content</w:t>
      </w:r>
      <w:r w:rsidRPr="0097531D">
        <w:rPr>
          <w:color w:val="000000"/>
          <w:sz w:val="22"/>
          <w:szCs w:val="22"/>
        </w:rPr>
        <w:t>.</w:t>
      </w:r>
      <w:r w:rsidRPr="0097531D">
        <w:rPr>
          <w:sz w:val="22"/>
          <w:szCs w:val="22"/>
        </w:rPr>
        <w:t xml:space="preserve">  </w:t>
      </w:r>
      <w:r w:rsidRPr="0097531D">
        <w:rPr>
          <w:color w:val="000000"/>
          <w:sz w:val="22"/>
          <w:szCs w:val="22"/>
        </w:rPr>
        <w:t>The sulfur content shall not exceed 15 ppm (0.0015% by weight) for non-road diesel fuel.</w:t>
      </w:r>
      <w:r w:rsidRPr="0097531D">
        <w:rPr>
          <w:sz w:val="22"/>
          <w:szCs w:val="22"/>
        </w:rPr>
        <w:t xml:space="preserve">  </w:t>
      </w:r>
      <w:r w:rsidRPr="0097531D">
        <w:rPr>
          <w:i/>
          <w:sz w:val="22"/>
          <w:szCs w:val="22"/>
        </w:rPr>
        <w:t>{</w:t>
      </w:r>
      <w:r w:rsidRPr="0097531D">
        <w:rPr>
          <w:i/>
          <w:sz w:val="22"/>
          <w:szCs w:val="22"/>
          <w:highlight w:val="yellow"/>
          <w:u w:val="double"/>
        </w:rPr>
        <w:t>Permitting Note:</w:t>
      </w:r>
      <w:r w:rsidRPr="0097531D">
        <w:rPr>
          <w:i/>
          <w:sz w:val="22"/>
          <w:szCs w:val="22"/>
        </w:rPr>
        <w:t xml:space="preserve">  equivalent to</w:t>
      </w:r>
      <w:r w:rsidRPr="0097531D">
        <w:rPr>
          <w:i/>
          <w:strike/>
          <w:sz w:val="22"/>
          <w:szCs w:val="22"/>
          <w:highlight w:val="yellow"/>
        </w:rPr>
        <w:t>:</w:t>
      </w:r>
      <w:r w:rsidRPr="0097531D">
        <w:rPr>
          <w:i/>
          <w:sz w:val="22"/>
          <w:szCs w:val="22"/>
        </w:rPr>
        <w:t xml:space="preserve">  0.0006 lb SO</w:t>
      </w:r>
      <w:r w:rsidRPr="0097531D">
        <w:rPr>
          <w:i/>
          <w:sz w:val="22"/>
          <w:szCs w:val="22"/>
          <w:vertAlign w:val="subscript"/>
        </w:rPr>
        <w:t>2</w:t>
      </w:r>
      <w:r w:rsidRPr="0097531D">
        <w:rPr>
          <w:i/>
          <w:sz w:val="22"/>
          <w:szCs w:val="22"/>
        </w:rPr>
        <w:t>/hour}</w:t>
      </w:r>
    </w:p>
    <w:p w:rsidR="0097531D" w:rsidRPr="0097531D" w:rsidRDefault="0097531D" w:rsidP="00956930">
      <w:pPr>
        <w:numPr>
          <w:ilvl w:val="0"/>
          <w:numId w:val="95"/>
        </w:numPr>
        <w:tabs>
          <w:tab w:val="left" w:pos="360"/>
        </w:tabs>
        <w:rPr>
          <w:sz w:val="22"/>
          <w:szCs w:val="22"/>
        </w:rPr>
      </w:pPr>
      <w:r w:rsidRPr="0097531D">
        <w:rPr>
          <w:i/>
          <w:color w:val="000000"/>
          <w:sz w:val="22"/>
          <w:szCs w:val="22"/>
        </w:rPr>
        <w:t>Cetane and Aromatic</w:t>
      </w:r>
      <w:r w:rsidRPr="0097531D">
        <w:rPr>
          <w:color w:val="000000"/>
          <w:sz w:val="22"/>
          <w:szCs w:val="22"/>
        </w:rPr>
        <w:t>.  The fuel must have a minimum cetane index of 40 or</w:t>
      </w:r>
      <w:r w:rsidRPr="0097531D">
        <w:rPr>
          <w:sz w:val="22"/>
          <w:szCs w:val="22"/>
        </w:rPr>
        <w:t xml:space="preserve"> </w:t>
      </w:r>
      <w:r w:rsidRPr="0097531D">
        <w:rPr>
          <w:color w:val="000000"/>
          <w:sz w:val="22"/>
          <w:szCs w:val="22"/>
        </w:rPr>
        <w:t>must have a</w:t>
      </w:r>
      <w:r w:rsidRPr="0097531D">
        <w:rPr>
          <w:sz w:val="22"/>
          <w:szCs w:val="22"/>
        </w:rPr>
        <w:t xml:space="preserve"> maximum aromatic content of 35 volume percent.</w:t>
      </w:r>
    </w:p>
    <w:p w:rsidR="0097531D" w:rsidRPr="0097531D" w:rsidRDefault="0097531D" w:rsidP="00956930">
      <w:pPr>
        <w:numPr>
          <w:ilvl w:val="0"/>
          <w:numId w:val="95"/>
        </w:numPr>
        <w:tabs>
          <w:tab w:val="left" w:pos="360"/>
        </w:tabs>
        <w:rPr>
          <w:sz w:val="22"/>
          <w:szCs w:val="22"/>
          <w:highlight w:val="yellow"/>
          <w:u w:val="double"/>
        </w:rPr>
      </w:pPr>
      <w:r w:rsidRPr="0097531D">
        <w:rPr>
          <w:i/>
          <w:color w:val="000000"/>
          <w:sz w:val="22"/>
          <w:szCs w:val="22"/>
          <w:highlight w:val="yellow"/>
          <w:u w:val="double"/>
        </w:rPr>
        <w:t>Use of Existing Fuel</w:t>
      </w:r>
      <w:r w:rsidRPr="0097531D">
        <w:rPr>
          <w:color w:val="000000"/>
          <w:sz w:val="22"/>
          <w:szCs w:val="22"/>
          <w:highlight w:val="yellow"/>
          <w:u w:val="double"/>
        </w:rPr>
        <w:t xml:space="preserve">.  Any existing diesel fuel purchased (or otherwise obtained) prior to October 1, 2010, may be used until depleted.  </w:t>
      </w:r>
    </w:p>
    <w:p w:rsidR="0097531D" w:rsidRPr="0097531D" w:rsidRDefault="0097531D" w:rsidP="0097531D">
      <w:pPr>
        <w:tabs>
          <w:tab w:val="left" w:pos="360"/>
        </w:tabs>
        <w:spacing w:after="120"/>
        <w:ind w:left="360"/>
        <w:rPr>
          <w:color w:val="000000"/>
          <w:sz w:val="22"/>
          <w:szCs w:val="22"/>
        </w:rPr>
      </w:pPr>
      <w:r w:rsidRPr="0097531D">
        <w:rPr>
          <w:color w:val="000000"/>
          <w:sz w:val="22"/>
          <w:szCs w:val="22"/>
        </w:rPr>
        <w:t>[40 CFR 60.4207(b) and 40 CFR 80.510(b)]</w:t>
      </w:r>
    </w:p>
    <w:p w:rsidR="0097531D" w:rsidRDefault="0097531D" w:rsidP="0097531D">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To reflect current Title V air operation permit format standards, minor corrections and clarifications were made to Specific Condition </w:t>
      </w:r>
      <w:r>
        <w:rPr>
          <w:b/>
          <w:color w:val="000000"/>
          <w:sz w:val="22"/>
          <w:szCs w:val="22"/>
        </w:rPr>
        <w:t>G.3</w:t>
      </w:r>
      <w:r>
        <w:rPr>
          <w:color w:val="000000"/>
          <w:sz w:val="22"/>
          <w:szCs w:val="22"/>
        </w:rPr>
        <w:t>, which appears as follows:</w:t>
      </w:r>
    </w:p>
    <w:p w:rsidR="0097531D" w:rsidRPr="0097531D" w:rsidRDefault="0097531D" w:rsidP="00956930">
      <w:pPr>
        <w:numPr>
          <w:ilvl w:val="0"/>
          <w:numId w:val="96"/>
        </w:numPr>
        <w:tabs>
          <w:tab w:val="left" w:pos="1080"/>
          <w:tab w:val="left" w:pos="1440"/>
        </w:tabs>
        <w:rPr>
          <w:sz w:val="22"/>
          <w:szCs w:val="22"/>
        </w:rPr>
      </w:pPr>
      <w:r w:rsidRPr="0097531D">
        <w:rPr>
          <w:sz w:val="22"/>
          <w:szCs w:val="22"/>
          <w:highlight w:val="yellow"/>
          <w:u w:val="double"/>
        </w:rPr>
        <w:t>Restricted</w:t>
      </w:r>
      <w:r w:rsidRPr="0097531D">
        <w:rPr>
          <w:sz w:val="22"/>
          <w:szCs w:val="22"/>
          <w:u w:val="single"/>
        </w:rPr>
        <w:t xml:space="preserve"> Hours of Operation</w:t>
      </w:r>
      <w:r w:rsidRPr="0097531D">
        <w:rPr>
          <w:sz w:val="22"/>
          <w:szCs w:val="22"/>
        </w:rPr>
        <w:t>.</w:t>
      </w:r>
    </w:p>
    <w:p w:rsidR="0097531D" w:rsidRPr="0097531D" w:rsidRDefault="0097531D" w:rsidP="0097531D">
      <w:pPr>
        <w:numPr>
          <w:ilvl w:val="1"/>
          <w:numId w:val="1"/>
        </w:numPr>
        <w:tabs>
          <w:tab w:val="left" w:pos="360"/>
        </w:tabs>
        <w:rPr>
          <w:sz w:val="22"/>
          <w:szCs w:val="22"/>
        </w:rPr>
      </w:pPr>
      <w:r w:rsidRPr="0097531D">
        <w:rPr>
          <w:i/>
          <w:sz w:val="22"/>
          <w:szCs w:val="22"/>
        </w:rPr>
        <w:t>Emergency Situations</w:t>
      </w:r>
      <w:r w:rsidRPr="0097531D">
        <w:rPr>
          <w:sz w:val="22"/>
          <w:szCs w:val="22"/>
        </w:rPr>
        <w:t>.  There is no time limit on the use of emergency stationary RICE in emergency situations.  [40 CFR 60.4211(f)(1)]</w:t>
      </w:r>
    </w:p>
    <w:p w:rsidR="0097531D" w:rsidRPr="0097531D" w:rsidRDefault="0097531D" w:rsidP="0097531D">
      <w:pPr>
        <w:numPr>
          <w:ilvl w:val="1"/>
          <w:numId w:val="1"/>
        </w:numPr>
        <w:tabs>
          <w:tab w:val="left" w:pos="360"/>
        </w:tabs>
        <w:rPr>
          <w:sz w:val="22"/>
          <w:szCs w:val="22"/>
        </w:rPr>
      </w:pPr>
      <w:r w:rsidRPr="0097531D">
        <w:rPr>
          <w:i/>
          <w:sz w:val="22"/>
          <w:szCs w:val="22"/>
        </w:rPr>
        <w:t xml:space="preserve">Maintenance and Testing.  </w:t>
      </w:r>
      <w:r w:rsidRPr="0097531D">
        <w:rPr>
          <w:strike/>
          <w:sz w:val="22"/>
          <w:szCs w:val="22"/>
          <w:highlight w:val="yellow"/>
        </w:rPr>
        <w:t>Each</w:t>
      </w:r>
      <w:r w:rsidRPr="0097531D">
        <w:rPr>
          <w:sz w:val="22"/>
          <w:szCs w:val="22"/>
        </w:rPr>
        <w:t xml:space="preserve"> </w:t>
      </w:r>
      <w:r w:rsidRPr="0097531D">
        <w:rPr>
          <w:sz w:val="22"/>
          <w:szCs w:val="22"/>
          <w:highlight w:val="yellow"/>
          <w:u w:val="double"/>
        </w:rPr>
        <w:t>This</w:t>
      </w:r>
      <w:r w:rsidRPr="0097531D">
        <w:rPr>
          <w:sz w:val="22"/>
          <w:szCs w:val="22"/>
        </w:rPr>
        <w:t xml:space="preserve">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[40 CFR 60.4211(f)(2)</w:t>
      </w:r>
      <w:r w:rsidRPr="0097531D">
        <w:rPr>
          <w:sz w:val="22"/>
          <w:szCs w:val="22"/>
          <w:highlight w:val="yellow"/>
          <w:u w:val="double"/>
        </w:rPr>
        <w:t>(i)</w:t>
      </w:r>
      <w:r w:rsidRPr="0097531D">
        <w:rPr>
          <w:sz w:val="22"/>
          <w:szCs w:val="22"/>
        </w:rPr>
        <w:t xml:space="preserve">]  </w:t>
      </w:r>
    </w:p>
    <w:p w:rsidR="0097531D" w:rsidRPr="0097531D" w:rsidRDefault="0097531D" w:rsidP="0097531D">
      <w:pPr>
        <w:numPr>
          <w:ilvl w:val="1"/>
          <w:numId w:val="1"/>
        </w:numPr>
        <w:tabs>
          <w:tab w:val="left" w:pos="360"/>
        </w:tabs>
        <w:rPr>
          <w:sz w:val="22"/>
          <w:szCs w:val="22"/>
        </w:rPr>
      </w:pPr>
      <w:r w:rsidRPr="0097531D">
        <w:rPr>
          <w:i/>
          <w:strike/>
          <w:sz w:val="22"/>
          <w:szCs w:val="22"/>
          <w:highlight w:val="yellow"/>
        </w:rPr>
        <w:t>Other</w:t>
      </w:r>
      <w:r w:rsidRPr="0097531D">
        <w:rPr>
          <w:i/>
          <w:sz w:val="22"/>
          <w:szCs w:val="22"/>
        </w:rPr>
        <w:t xml:space="preserve"> </w:t>
      </w:r>
      <w:r w:rsidRPr="0097531D">
        <w:rPr>
          <w:i/>
          <w:sz w:val="22"/>
          <w:szCs w:val="22"/>
          <w:highlight w:val="yellow"/>
          <w:u w:val="double"/>
        </w:rPr>
        <w:t>Non-emergency</w:t>
      </w:r>
      <w:r w:rsidRPr="0097531D">
        <w:rPr>
          <w:i/>
          <w:sz w:val="22"/>
          <w:szCs w:val="22"/>
        </w:rPr>
        <w:t xml:space="preserve"> Situations</w:t>
      </w:r>
      <w:r w:rsidRPr="0097531D">
        <w:rPr>
          <w:sz w:val="22"/>
          <w:szCs w:val="22"/>
        </w:rPr>
        <w:t xml:space="preserve">.  Each RICE cannot be used for peak shaving or to generate income for a facility to supply power to an electric grid or otherwise supply power as part of a financial arrangement with another entity.  Each RICE may be operated for up to 50 hours per calendar year in non-emergency situations.  </w:t>
      </w:r>
    </w:p>
    <w:p w:rsidR="0097531D" w:rsidRPr="0097531D" w:rsidRDefault="0097531D" w:rsidP="0097531D">
      <w:pPr>
        <w:spacing w:after="120"/>
        <w:ind w:left="720"/>
        <w:rPr>
          <w:sz w:val="22"/>
          <w:szCs w:val="22"/>
        </w:rPr>
      </w:pPr>
      <w:r w:rsidRPr="0097531D">
        <w:rPr>
          <w:sz w:val="22"/>
          <w:szCs w:val="22"/>
        </w:rPr>
        <w:t>[40 CFR 60.4211(f)</w:t>
      </w:r>
      <w:r w:rsidRPr="0097531D">
        <w:rPr>
          <w:strike/>
          <w:sz w:val="22"/>
          <w:szCs w:val="22"/>
          <w:highlight w:val="yellow"/>
        </w:rPr>
        <w:t>(3)</w:t>
      </w:r>
      <w:r w:rsidRPr="0097531D">
        <w:rPr>
          <w:sz w:val="22"/>
          <w:szCs w:val="22"/>
        </w:rPr>
        <w:t>]</w:t>
      </w:r>
    </w:p>
    <w:p w:rsidR="0097531D" w:rsidRPr="0097531D" w:rsidRDefault="0097531D" w:rsidP="0097531D">
      <w:pPr>
        <w:pStyle w:val="ListParagraph"/>
        <w:numPr>
          <w:ilvl w:val="0"/>
          <w:numId w:val="1"/>
        </w:numPr>
        <w:tabs>
          <w:tab w:val="left" w:pos="360"/>
        </w:tabs>
        <w:spacing w:after="120"/>
        <w:contextualSpacing w:val="0"/>
        <w:rPr>
          <w:color w:val="000000"/>
          <w:sz w:val="22"/>
          <w:szCs w:val="22"/>
        </w:rPr>
      </w:pPr>
      <w:r w:rsidRPr="0097531D">
        <w:rPr>
          <w:color w:val="000000"/>
          <w:sz w:val="22"/>
          <w:szCs w:val="22"/>
        </w:rPr>
        <w:t xml:space="preserve">Minor clarifications were made to Specific Conditions </w:t>
      </w:r>
      <w:r w:rsidRPr="0097531D">
        <w:rPr>
          <w:b/>
          <w:color w:val="000000"/>
          <w:sz w:val="22"/>
          <w:szCs w:val="22"/>
        </w:rPr>
        <w:t>G.4</w:t>
      </w:r>
      <w:r w:rsidRPr="0097531D">
        <w:rPr>
          <w:color w:val="000000"/>
          <w:sz w:val="22"/>
          <w:szCs w:val="22"/>
        </w:rPr>
        <w:t xml:space="preserve">, </w:t>
      </w:r>
      <w:r w:rsidRPr="0097531D">
        <w:rPr>
          <w:b/>
          <w:color w:val="000000"/>
          <w:sz w:val="22"/>
          <w:szCs w:val="22"/>
        </w:rPr>
        <w:t>G.5</w:t>
      </w:r>
      <w:r w:rsidRPr="0097531D">
        <w:rPr>
          <w:color w:val="000000"/>
          <w:sz w:val="22"/>
          <w:szCs w:val="22"/>
        </w:rPr>
        <w:t xml:space="preserve"> and </w:t>
      </w:r>
      <w:r w:rsidRPr="0097531D">
        <w:rPr>
          <w:b/>
          <w:color w:val="000000"/>
          <w:sz w:val="22"/>
          <w:szCs w:val="22"/>
        </w:rPr>
        <w:t>G.6</w:t>
      </w:r>
      <w:r w:rsidRPr="0097531D">
        <w:rPr>
          <w:color w:val="000000"/>
          <w:sz w:val="22"/>
          <w:szCs w:val="22"/>
        </w:rPr>
        <w:t xml:space="preserve"> to reflect accurate citations and current Title V air operation permit format standards:</w:t>
      </w:r>
    </w:p>
    <w:p w:rsidR="0097531D" w:rsidRPr="0097531D" w:rsidRDefault="0097531D" w:rsidP="00956930">
      <w:pPr>
        <w:numPr>
          <w:ilvl w:val="0"/>
          <w:numId w:val="96"/>
        </w:numPr>
        <w:tabs>
          <w:tab w:val="num" w:pos="720"/>
          <w:tab w:val="left" w:pos="1080"/>
          <w:tab w:val="left" w:pos="1440"/>
        </w:tabs>
        <w:spacing w:after="120"/>
        <w:rPr>
          <w:sz w:val="22"/>
          <w:szCs w:val="22"/>
        </w:rPr>
      </w:pPr>
      <w:bookmarkStart w:id="67" w:name="_Ref520714465"/>
      <w:r w:rsidRPr="0097531D">
        <w:rPr>
          <w:sz w:val="22"/>
          <w:szCs w:val="22"/>
          <w:u w:val="single"/>
        </w:rPr>
        <w:t>NMHC + NOx Emissions</w:t>
      </w:r>
      <w:r w:rsidRPr="0097531D">
        <w:rPr>
          <w:sz w:val="22"/>
          <w:szCs w:val="22"/>
        </w:rPr>
        <w:t xml:space="preserve">.  Non-methane hydrocarbons and nitrogen oxide emissions shall not exceed 4.0 g/KW-hr </w:t>
      </w:r>
      <w:r w:rsidRPr="0097531D">
        <w:rPr>
          <w:sz w:val="22"/>
          <w:szCs w:val="22"/>
          <w:highlight w:val="yellow"/>
          <w:u w:val="double"/>
        </w:rPr>
        <w:t>(equivalent to 3.0 g/HP-hr).</w:t>
      </w:r>
      <w:r w:rsidRPr="0097531D">
        <w:rPr>
          <w:sz w:val="22"/>
          <w:szCs w:val="22"/>
        </w:rPr>
        <w:t xml:space="preserve">  </w:t>
      </w:r>
      <w:r w:rsidRPr="0097531D">
        <w:rPr>
          <w:rFonts w:eastAsia="Calibri"/>
          <w:i/>
          <w:sz w:val="22"/>
          <w:szCs w:val="22"/>
        </w:rPr>
        <w:t>{</w:t>
      </w:r>
      <w:r w:rsidRPr="0097531D">
        <w:rPr>
          <w:rFonts w:eastAsia="Calibri"/>
          <w:i/>
          <w:sz w:val="22"/>
          <w:szCs w:val="22"/>
          <w:highlight w:val="yellow"/>
          <w:u w:val="double"/>
        </w:rPr>
        <w:t>Permitting Note:</w:t>
      </w:r>
      <w:r w:rsidRPr="0097531D">
        <w:rPr>
          <w:rFonts w:eastAsia="Calibri"/>
          <w:i/>
          <w:sz w:val="22"/>
          <w:szCs w:val="22"/>
        </w:rPr>
        <w:t xml:space="preserve">  equivalent to</w:t>
      </w:r>
      <w:r w:rsidRPr="0097531D">
        <w:rPr>
          <w:rFonts w:eastAsia="Calibri"/>
          <w:i/>
          <w:strike/>
          <w:sz w:val="22"/>
          <w:szCs w:val="22"/>
          <w:highlight w:val="yellow"/>
        </w:rPr>
        <w:t>:</w:t>
      </w:r>
      <w:r w:rsidRPr="0097531D">
        <w:rPr>
          <w:rFonts w:eastAsia="Calibri"/>
          <w:i/>
          <w:sz w:val="22"/>
          <w:szCs w:val="22"/>
        </w:rPr>
        <w:t xml:space="preserve">  1.3 lb/hour</w:t>
      </w:r>
      <w:r w:rsidRPr="0097531D">
        <w:rPr>
          <w:i/>
          <w:sz w:val="22"/>
          <w:szCs w:val="22"/>
        </w:rPr>
        <w:t>}</w:t>
      </w:r>
      <w:r w:rsidRPr="0097531D">
        <w:rPr>
          <w:strike/>
          <w:sz w:val="22"/>
          <w:szCs w:val="22"/>
          <w:highlight w:val="yellow"/>
        </w:rPr>
        <w:t>.</w:t>
      </w:r>
      <w:r w:rsidRPr="0097531D">
        <w:rPr>
          <w:sz w:val="22"/>
          <w:szCs w:val="22"/>
        </w:rPr>
        <w:t xml:space="preserve">  [40 CFR 60.4205(</w:t>
      </w:r>
      <w:r w:rsidRPr="0097531D">
        <w:rPr>
          <w:strike/>
          <w:sz w:val="22"/>
          <w:szCs w:val="22"/>
          <w:highlight w:val="yellow"/>
        </w:rPr>
        <w:t>b</w:t>
      </w:r>
      <w:r w:rsidRPr="0097531D">
        <w:rPr>
          <w:sz w:val="22"/>
          <w:szCs w:val="22"/>
          <w:highlight w:val="yellow"/>
          <w:u w:val="double"/>
        </w:rPr>
        <w:t>c</w:t>
      </w:r>
      <w:r w:rsidRPr="0097531D">
        <w:rPr>
          <w:sz w:val="22"/>
          <w:szCs w:val="22"/>
        </w:rPr>
        <w:t>)</w:t>
      </w:r>
      <w:r w:rsidRPr="0097531D">
        <w:rPr>
          <w:sz w:val="22"/>
          <w:szCs w:val="22"/>
          <w:highlight w:val="yellow"/>
          <w:u w:val="double"/>
        </w:rPr>
        <w:t xml:space="preserve"> , Subpart IIII, Table 4 &amp; 40 CFR 89.112(a)</w:t>
      </w:r>
      <w:r w:rsidRPr="0097531D">
        <w:rPr>
          <w:sz w:val="22"/>
          <w:szCs w:val="22"/>
        </w:rPr>
        <w:t>]</w:t>
      </w:r>
      <w:bookmarkEnd w:id="67"/>
    </w:p>
    <w:p w:rsidR="0097531D" w:rsidRPr="0097531D" w:rsidRDefault="0097531D" w:rsidP="00956930">
      <w:pPr>
        <w:numPr>
          <w:ilvl w:val="0"/>
          <w:numId w:val="96"/>
        </w:numPr>
        <w:tabs>
          <w:tab w:val="num" w:pos="720"/>
          <w:tab w:val="left" w:pos="1080"/>
          <w:tab w:val="left" w:pos="1440"/>
        </w:tabs>
        <w:spacing w:after="120"/>
        <w:rPr>
          <w:sz w:val="22"/>
          <w:szCs w:val="22"/>
        </w:rPr>
      </w:pPr>
      <w:bookmarkStart w:id="68" w:name="_Ref520714467"/>
      <w:r w:rsidRPr="0097531D">
        <w:rPr>
          <w:sz w:val="22"/>
          <w:szCs w:val="22"/>
          <w:u w:val="single"/>
        </w:rPr>
        <w:t>CO Emissions</w:t>
      </w:r>
      <w:r w:rsidRPr="0097531D">
        <w:rPr>
          <w:sz w:val="22"/>
          <w:szCs w:val="22"/>
        </w:rPr>
        <w:t xml:space="preserve">.  Carbon monoxide emissions shall not exceed 3.5 g/KW-hr </w:t>
      </w:r>
      <w:r w:rsidRPr="0097531D">
        <w:rPr>
          <w:sz w:val="22"/>
          <w:szCs w:val="22"/>
          <w:highlight w:val="yellow"/>
          <w:u w:val="double"/>
        </w:rPr>
        <w:t>(equivalent to 4.8 g/HP-hr).</w:t>
      </w:r>
      <w:r w:rsidRPr="0097531D">
        <w:rPr>
          <w:sz w:val="22"/>
          <w:szCs w:val="22"/>
        </w:rPr>
        <w:t xml:space="preserve">.  </w:t>
      </w:r>
      <w:r w:rsidRPr="0097531D">
        <w:rPr>
          <w:rFonts w:eastAsia="Calibri"/>
          <w:i/>
          <w:sz w:val="22"/>
          <w:szCs w:val="22"/>
        </w:rPr>
        <w:t>{</w:t>
      </w:r>
      <w:r w:rsidRPr="0097531D">
        <w:rPr>
          <w:rFonts w:eastAsia="Calibri"/>
          <w:i/>
          <w:sz w:val="22"/>
          <w:szCs w:val="22"/>
          <w:highlight w:val="yellow"/>
          <w:u w:val="double"/>
        </w:rPr>
        <w:t>Permitting Note:</w:t>
      </w:r>
      <w:r w:rsidRPr="0097531D">
        <w:rPr>
          <w:rFonts w:eastAsia="Calibri"/>
          <w:i/>
          <w:sz w:val="22"/>
          <w:szCs w:val="22"/>
        </w:rPr>
        <w:t xml:space="preserve">  equivalent to</w:t>
      </w:r>
      <w:r w:rsidRPr="0097531D">
        <w:rPr>
          <w:rFonts w:eastAsia="Calibri"/>
          <w:i/>
          <w:strike/>
          <w:sz w:val="22"/>
          <w:szCs w:val="22"/>
          <w:highlight w:val="yellow"/>
        </w:rPr>
        <w:t>:</w:t>
      </w:r>
      <w:r w:rsidRPr="0097531D">
        <w:rPr>
          <w:rFonts w:eastAsia="Calibri"/>
          <w:i/>
          <w:sz w:val="22"/>
          <w:szCs w:val="22"/>
        </w:rPr>
        <w:t xml:space="preserve">  1.1 lb/hour</w:t>
      </w:r>
      <w:r w:rsidRPr="0097531D">
        <w:rPr>
          <w:i/>
          <w:sz w:val="22"/>
          <w:szCs w:val="22"/>
        </w:rPr>
        <w:t>}</w:t>
      </w:r>
      <w:r w:rsidRPr="0097531D">
        <w:rPr>
          <w:strike/>
          <w:sz w:val="22"/>
          <w:szCs w:val="22"/>
          <w:highlight w:val="yellow"/>
        </w:rPr>
        <w:t>.</w:t>
      </w:r>
      <w:r w:rsidRPr="0097531D">
        <w:rPr>
          <w:sz w:val="22"/>
          <w:szCs w:val="22"/>
        </w:rPr>
        <w:t xml:space="preserve">  [40 CFR 60.4205(</w:t>
      </w:r>
      <w:r w:rsidRPr="0097531D">
        <w:rPr>
          <w:strike/>
          <w:sz w:val="22"/>
          <w:szCs w:val="22"/>
          <w:highlight w:val="yellow"/>
        </w:rPr>
        <w:t>b</w:t>
      </w:r>
      <w:r w:rsidRPr="0097531D">
        <w:rPr>
          <w:sz w:val="22"/>
          <w:szCs w:val="22"/>
          <w:highlight w:val="yellow"/>
          <w:u w:val="double"/>
        </w:rPr>
        <w:t>c</w:t>
      </w:r>
      <w:r w:rsidRPr="0097531D">
        <w:rPr>
          <w:sz w:val="22"/>
          <w:szCs w:val="22"/>
        </w:rPr>
        <w:t>)</w:t>
      </w:r>
      <w:r w:rsidRPr="0097531D">
        <w:rPr>
          <w:sz w:val="22"/>
          <w:szCs w:val="22"/>
          <w:highlight w:val="yellow"/>
          <w:u w:val="double"/>
        </w:rPr>
        <w:t>, Subpart IIII, Table 4 &amp; 40 CFR 89.112(a)</w:t>
      </w:r>
      <w:r w:rsidRPr="0097531D">
        <w:rPr>
          <w:sz w:val="22"/>
          <w:szCs w:val="22"/>
        </w:rPr>
        <w:t>]</w:t>
      </w:r>
      <w:bookmarkEnd w:id="68"/>
    </w:p>
    <w:p w:rsidR="0097531D" w:rsidRPr="0097531D" w:rsidRDefault="0097531D" w:rsidP="00956930">
      <w:pPr>
        <w:numPr>
          <w:ilvl w:val="0"/>
          <w:numId w:val="96"/>
        </w:numPr>
        <w:tabs>
          <w:tab w:val="num" w:pos="720"/>
          <w:tab w:val="left" w:pos="1080"/>
          <w:tab w:val="left" w:pos="1440"/>
        </w:tabs>
        <w:spacing w:after="120"/>
        <w:rPr>
          <w:sz w:val="22"/>
          <w:szCs w:val="22"/>
        </w:rPr>
      </w:pPr>
      <w:bookmarkStart w:id="69" w:name="_Ref520714469"/>
      <w:r w:rsidRPr="0097531D">
        <w:rPr>
          <w:sz w:val="22"/>
          <w:szCs w:val="22"/>
          <w:u w:val="single"/>
        </w:rPr>
        <w:t>PM Emissions</w:t>
      </w:r>
      <w:r w:rsidRPr="0097531D">
        <w:rPr>
          <w:sz w:val="22"/>
          <w:szCs w:val="22"/>
        </w:rPr>
        <w:t xml:space="preserve">.  Particulate matter emissions shall not exceed 0.20 g/KW-hr </w:t>
      </w:r>
      <w:r w:rsidRPr="0097531D">
        <w:rPr>
          <w:sz w:val="22"/>
          <w:szCs w:val="22"/>
          <w:highlight w:val="yellow"/>
          <w:u w:val="double"/>
        </w:rPr>
        <w:t>(equivalent to 0.15g/HP-hr)</w:t>
      </w:r>
      <w:r w:rsidRPr="0097531D">
        <w:rPr>
          <w:sz w:val="22"/>
          <w:szCs w:val="22"/>
        </w:rPr>
        <w:t xml:space="preserve"> </w:t>
      </w:r>
      <w:r w:rsidRPr="0097531D">
        <w:rPr>
          <w:rFonts w:eastAsia="Calibri"/>
          <w:i/>
          <w:sz w:val="22"/>
          <w:szCs w:val="22"/>
        </w:rPr>
        <w:t>{</w:t>
      </w:r>
      <w:r w:rsidRPr="0097531D">
        <w:rPr>
          <w:rFonts w:eastAsia="Calibri"/>
          <w:i/>
          <w:sz w:val="22"/>
          <w:szCs w:val="22"/>
          <w:highlight w:val="yellow"/>
          <w:u w:val="double"/>
        </w:rPr>
        <w:t>Permitting Note:</w:t>
      </w:r>
      <w:r w:rsidRPr="0097531D">
        <w:rPr>
          <w:rFonts w:eastAsia="Calibri"/>
          <w:i/>
          <w:sz w:val="22"/>
          <w:szCs w:val="22"/>
        </w:rPr>
        <w:t xml:space="preserve">  equivalent to</w:t>
      </w:r>
      <w:r w:rsidRPr="0097531D">
        <w:rPr>
          <w:rFonts w:eastAsia="Calibri"/>
          <w:i/>
          <w:strike/>
          <w:sz w:val="22"/>
          <w:szCs w:val="22"/>
          <w:highlight w:val="yellow"/>
        </w:rPr>
        <w:t>:</w:t>
      </w:r>
      <w:r w:rsidRPr="0097531D">
        <w:rPr>
          <w:rFonts w:eastAsia="Calibri"/>
          <w:i/>
          <w:sz w:val="22"/>
          <w:szCs w:val="22"/>
        </w:rPr>
        <w:t xml:space="preserve">  0.06 lb/hour</w:t>
      </w:r>
      <w:r w:rsidRPr="0097531D">
        <w:rPr>
          <w:i/>
          <w:sz w:val="22"/>
          <w:szCs w:val="22"/>
        </w:rPr>
        <w:t>}</w:t>
      </w:r>
      <w:r w:rsidRPr="0097531D">
        <w:rPr>
          <w:strike/>
          <w:sz w:val="22"/>
          <w:szCs w:val="22"/>
          <w:highlight w:val="yellow"/>
        </w:rPr>
        <w:t>.</w:t>
      </w:r>
      <w:r w:rsidRPr="0097531D">
        <w:rPr>
          <w:sz w:val="22"/>
          <w:szCs w:val="22"/>
        </w:rPr>
        <w:t xml:space="preserve">  [40 CFR 60.4205(</w:t>
      </w:r>
      <w:r w:rsidRPr="0097531D">
        <w:rPr>
          <w:strike/>
          <w:sz w:val="22"/>
          <w:szCs w:val="22"/>
          <w:highlight w:val="yellow"/>
        </w:rPr>
        <w:t>b</w:t>
      </w:r>
      <w:r w:rsidRPr="0097531D">
        <w:rPr>
          <w:sz w:val="22"/>
          <w:szCs w:val="22"/>
          <w:highlight w:val="yellow"/>
          <w:u w:val="double"/>
        </w:rPr>
        <w:t>c</w:t>
      </w:r>
      <w:r w:rsidRPr="0097531D">
        <w:rPr>
          <w:sz w:val="22"/>
          <w:szCs w:val="22"/>
        </w:rPr>
        <w:t>)</w:t>
      </w:r>
      <w:r w:rsidRPr="0097531D">
        <w:rPr>
          <w:sz w:val="22"/>
          <w:szCs w:val="22"/>
          <w:highlight w:val="yellow"/>
          <w:u w:val="double"/>
        </w:rPr>
        <w:t>, Subpart IIII, Table 4 &amp; 40 CFR 89.112(a)</w:t>
      </w:r>
      <w:r w:rsidRPr="0097531D">
        <w:rPr>
          <w:sz w:val="22"/>
          <w:szCs w:val="22"/>
        </w:rPr>
        <w:t>]</w:t>
      </w:r>
      <w:bookmarkEnd w:id="69"/>
    </w:p>
    <w:p w:rsidR="0097531D" w:rsidRPr="00760F04" w:rsidRDefault="0097531D" w:rsidP="0097531D">
      <w:pPr>
        <w:pStyle w:val="ListParagraph"/>
        <w:numPr>
          <w:ilvl w:val="0"/>
          <w:numId w:val="1"/>
        </w:numPr>
        <w:tabs>
          <w:tab w:val="left" w:pos="360"/>
        </w:tabs>
        <w:spacing w:after="120"/>
        <w:contextualSpacing w:val="0"/>
        <w:rPr>
          <w:color w:val="000000"/>
          <w:sz w:val="22"/>
          <w:szCs w:val="22"/>
        </w:rPr>
      </w:pPr>
      <w:r w:rsidRPr="0097531D">
        <w:rPr>
          <w:color w:val="000000"/>
          <w:sz w:val="22"/>
          <w:szCs w:val="22"/>
        </w:rPr>
        <w:t xml:space="preserve">Specific Condition </w:t>
      </w:r>
      <w:r w:rsidRPr="0097531D">
        <w:rPr>
          <w:b/>
          <w:color w:val="000000"/>
          <w:sz w:val="22"/>
          <w:szCs w:val="22"/>
        </w:rPr>
        <w:t>G.7</w:t>
      </w:r>
      <w:r w:rsidRPr="0097531D">
        <w:rPr>
          <w:color w:val="000000"/>
          <w:sz w:val="22"/>
          <w:szCs w:val="22"/>
        </w:rPr>
        <w:t xml:space="preserve"> has been deleted, revised and reinserted under </w:t>
      </w:r>
      <w:r w:rsidRPr="0097531D">
        <w:rPr>
          <w:b/>
          <w:color w:val="000000"/>
          <w:sz w:val="22"/>
          <w:szCs w:val="22"/>
          <w:u w:val="single"/>
        </w:rPr>
        <w:t>Testing and Compliance Requirements</w:t>
      </w:r>
      <w:r w:rsidRPr="0097531D">
        <w:rPr>
          <w:sz w:val="22"/>
          <w:szCs w:val="22"/>
        </w:rPr>
        <w:t xml:space="preserve"> to reflect</w:t>
      </w:r>
      <w:r>
        <w:rPr>
          <w:sz w:val="22"/>
          <w:szCs w:val="22"/>
        </w:rPr>
        <w:t xml:space="preserve"> current Title V air operation permit format standards.  </w:t>
      </w:r>
      <w:r w:rsidR="00760F04">
        <w:rPr>
          <w:sz w:val="22"/>
          <w:szCs w:val="22"/>
        </w:rPr>
        <w:t xml:space="preserve">Language from 40 CFR </w:t>
      </w:r>
      <w:r w:rsidR="00760F04" w:rsidRPr="00760F04">
        <w:rPr>
          <w:sz w:val="22"/>
          <w:szCs w:val="22"/>
        </w:rPr>
        <w:t>60.4206 was added to this condition, which appears as follows:</w:t>
      </w:r>
    </w:p>
    <w:p w:rsidR="00760F04" w:rsidRPr="00760F04" w:rsidRDefault="00760F04" w:rsidP="00760F04">
      <w:pPr>
        <w:tabs>
          <w:tab w:val="left" w:pos="1080"/>
          <w:tab w:val="left" w:pos="1440"/>
        </w:tabs>
        <w:spacing w:after="120"/>
        <w:ind w:left="360"/>
        <w:rPr>
          <w:sz w:val="22"/>
          <w:szCs w:val="22"/>
          <w:u w:val="single"/>
        </w:rPr>
      </w:pPr>
      <w:r w:rsidRPr="00760F04">
        <w:rPr>
          <w:b/>
          <w:sz w:val="22"/>
          <w:szCs w:val="22"/>
          <w:highlight w:val="yellow"/>
          <w:u w:val="double"/>
        </w:rPr>
        <w:t>Testing and</w:t>
      </w:r>
      <w:r w:rsidRPr="00760F04">
        <w:rPr>
          <w:b/>
          <w:sz w:val="22"/>
          <w:szCs w:val="22"/>
          <w:u w:val="single"/>
        </w:rPr>
        <w:t xml:space="preserve"> Compliance Requirements</w:t>
      </w:r>
    </w:p>
    <w:p w:rsidR="00760F04" w:rsidRPr="00760F04" w:rsidRDefault="00760F04" w:rsidP="00956930">
      <w:pPr>
        <w:numPr>
          <w:ilvl w:val="0"/>
          <w:numId w:val="97"/>
        </w:numPr>
        <w:tabs>
          <w:tab w:val="left" w:pos="1080"/>
        </w:tabs>
        <w:spacing w:after="120"/>
        <w:rPr>
          <w:color w:val="000000"/>
          <w:sz w:val="22"/>
          <w:szCs w:val="22"/>
          <w:highlight w:val="yellow"/>
          <w:u w:val="double"/>
        </w:rPr>
      </w:pPr>
      <w:r w:rsidRPr="00760F04">
        <w:rPr>
          <w:color w:val="000000"/>
          <w:sz w:val="22"/>
          <w:szCs w:val="22"/>
          <w:highlight w:val="yellow"/>
          <w:u w:val="double"/>
        </w:rPr>
        <w:t xml:space="preserve">Operation and Maintenance.  The owner or operator must operate and maintain the stationary CI ICE according to the manufacturer's written emission-related instructions.  In addition, owners and operators may only change those settings that are permitted by the manufacturer.  The owner or operator must meet the requirements of 40 CFR 89, 94 and/or 1068, as they apply.  This RICE must be maintained and operated to meet the emissions limits in Specific Conditions </w:t>
      </w:r>
      <w:r w:rsidRPr="00760F04">
        <w:rPr>
          <w:b/>
          <w:color w:val="000000"/>
          <w:sz w:val="22"/>
          <w:szCs w:val="22"/>
          <w:highlight w:val="yellow"/>
          <w:u w:val="double"/>
        </w:rPr>
        <w:fldChar w:fldCharType="begin"/>
      </w:r>
      <w:r w:rsidRPr="00760F04">
        <w:rPr>
          <w:b/>
          <w:color w:val="000000"/>
          <w:sz w:val="22"/>
          <w:szCs w:val="22"/>
          <w:highlight w:val="yellow"/>
          <w:u w:val="double"/>
        </w:rPr>
        <w:instrText xml:space="preserve"> REF _Ref520714465 \r \h  \* MERGEFORMAT </w:instrText>
      </w:r>
      <w:r w:rsidRPr="00760F04">
        <w:rPr>
          <w:b/>
          <w:color w:val="000000"/>
          <w:sz w:val="22"/>
          <w:szCs w:val="22"/>
          <w:highlight w:val="yellow"/>
          <w:u w:val="double"/>
        </w:rPr>
      </w:r>
      <w:r w:rsidRPr="00760F04">
        <w:rPr>
          <w:b/>
          <w:color w:val="000000"/>
          <w:sz w:val="22"/>
          <w:szCs w:val="22"/>
          <w:highlight w:val="yellow"/>
          <w:u w:val="double"/>
        </w:rPr>
        <w:fldChar w:fldCharType="separate"/>
      </w:r>
      <w:r w:rsidR="00C76A61">
        <w:rPr>
          <w:b/>
          <w:color w:val="000000"/>
          <w:sz w:val="22"/>
          <w:szCs w:val="22"/>
          <w:highlight w:val="yellow"/>
          <w:u w:val="double"/>
        </w:rPr>
        <w:t>G.4</w:t>
      </w:r>
      <w:r w:rsidRPr="00760F04">
        <w:rPr>
          <w:b/>
          <w:color w:val="000000"/>
          <w:sz w:val="22"/>
          <w:szCs w:val="22"/>
          <w:highlight w:val="yellow"/>
          <w:u w:val="double"/>
        </w:rPr>
        <w:fldChar w:fldCharType="end"/>
      </w:r>
      <w:r w:rsidRPr="00760F04">
        <w:rPr>
          <w:color w:val="000000"/>
          <w:sz w:val="22"/>
          <w:szCs w:val="22"/>
          <w:highlight w:val="yellow"/>
          <w:u w:val="double"/>
        </w:rPr>
        <w:t xml:space="preserve">, </w:t>
      </w:r>
      <w:r w:rsidRPr="00760F04">
        <w:rPr>
          <w:b/>
          <w:color w:val="000000"/>
          <w:sz w:val="22"/>
          <w:szCs w:val="22"/>
          <w:highlight w:val="yellow"/>
          <w:u w:val="double"/>
        </w:rPr>
        <w:fldChar w:fldCharType="begin"/>
      </w:r>
      <w:r w:rsidRPr="00760F04">
        <w:rPr>
          <w:b/>
          <w:color w:val="000000"/>
          <w:sz w:val="22"/>
          <w:szCs w:val="22"/>
          <w:highlight w:val="yellow"/>
          <w:u w:val="double"/>
        </w:rPr>
        <w:instrText xml:space="preserve"> REF _Ref520714467 \r \h  \* MERGEFORMAT </w:instrText>
      </w:r>
      <w:r w:rsidRPr="00760F04">
        <w:rPr>
          <w:b/>
          <w:color w:val="000000"/>
          <w:sz w:val="22"/>
          <w:szCs w:val="22"/>
          <w:highlight w:val="yellow"/>
          <w:u w:val="double"/>
        </w:rPr>
      </w:r>
      <w:r w:rsidRPr="00760F04">
        <w:rPr>
          <w:b/>
          <w:color w:val="000000"/>
          <w:sz w:val="22"/>
          <w:szCs w:val="22"/>
          <w:highlight w:val="yellow"/>
          <w:u w:val="double"/>
        </w:rPr>
        <w:fldChar w:fldCharType="separate"/>
      </w:r>
      <w:r w:rsidR="00C76A61">
        <w:rPr>
          <w:b/>
          <w:color w:val="000000"/>
          <w:sz w:val="22"/>
          <w:szCs w:val="22"/>
          <w:highlight w:val="yellow"/>
          <w:u w:val="double"/>
        </w:rPr>
        <w:t>G.5</w:t>
      </w:r>
      <w:r w:rsidRPr="00760F04">
        <w:rPr>
          <w:b/>
          <w:color w:val="000000"/>
          <w:sz w:val="22"/>
          <w:szCs w:val="22"/>
          <w:highlight w:val="yellow"/>
          <w:u w:val="double"/>
        </w:rPr>
        <w:fldChar w:fldCharType="end"/>
      </w:r>
      <w:r w:rsidRPr="00760F04">
        <w:rPr>
          <w:color w:val="000000"/>
          <w:sz w:val="22"/>
          <w:szCs w:val="22"/>
          <w:highlight w:val="yellow"/>
          <w:u w:val="double"/>
        </w:rPr>
        <w:t xml:space="preserve"> and </w:t>
      </w:r>
      <w:r w:rsidRPr="00760F04">
        <w:rPr>
          <w:b/>
          <w:color w:val="000000"/>
          <w:sz w:val="22"/>
          <w:szCs w:val="22"/>
          <w:highlight w:val="yellow"/>
          <w:u w:val="double"/>
        </w:rPr>
        <w:fldChar w:fldCharType="begin"/>
      </w:r>
      <w:r w:rsidRPr="00760F04">
        <w:rPr>
          <w:b/>
          <w:color w:val="000000"/>
          <w:sz w:val="22"/>
          <w:szCs w:val="22"/>
          <w:highlight w:val="yellow"/>
          <w:u w:val="double"/>
        </w:rPr>
        <w:instrText xml:space="preserve"> REF _Ref520714469 \r \h  \* MERGEFORMAT </w:instrText>
      </w:r>
      <w:r w:rsidRPr="00760F04">
        <w:rPr>
          <w:b/>
          <w:color w:val="000000"/>
          <w:sz w:val="22"/>
          <w:szCs w:val="22"/>
          <w:highlight w:val="yellow"/>
          <w:u w:val="double"/>
        </w:rPr>
      </w:r>
      <w:r w:rsidRPr="00760F04">
        <w:rPr>
          <w:b/>
          <w:color w:val="000000"/>
          <w:sz w:val="22"/>
          <w:szCs w:val="22"/>
          <w:highlight w:val="yellow"/>
          <w:u w:val="double"/>
        </w:rPr>
        <w:fldChar w:fldCharType="separate"/>
      </w:r>
      <w:r w:rsidR="00C76A61">
        <w:rPr>
          <w:b/>
          <w:color w:val="000000"/>
          <w:sz w:val="22"/>
          <w:szCs w:val="22"/>
          <w:highlight w:val="yellow"/>
          <w:u w:val="double"/>
        </w:rPr>
        <w:t>G.6</w:t>
      </w:r>
      <w:r w:rsidRPr="00760F04">
        <w:rPr>
          <w:b/>
          <w:color w:val="000000"/>
          <w:sz w:val="22"/>
          <w:szCs w:val="22"/>
          <w:highlight w:val="yellow"/>
          <w:u w:val="double"/>
        </w:rPr>
        <w:fldChar w:fldCharType="end"/>
      </w:r>
      <w:r w:rsidRPr="00760F04">
        <w:rPr>
          <w:color w:val="000000"/>
          <w:sz w:val="22"/>
          <w:szCs w:val="22"/>
          <w:highlight w:val="yellow"/>
          <w:u w:val="double"/>
        </w:rPr>
        <w:t xml:space="preserve"> over the entire life of the engine.  [40 CFR 60.4206 &amp; 60.4211(a)]</w:t>
      </w:r>
    </w:p>
    <w:p w:rsidR="00760F04" w:rsidRDefault="00760F04" w:rsidP="00760F04">
      <w:pPr>
        <w:pStyle w:val="ListParagraph"/>
        <w:numPr>
          <w:ilvl w:val="0"/>
          <w:numId w:val="1"/>
        </w:numPr>
        <w:tabs>
          <w:tab w:val="left" w:pos="360"/>
        </w:tabs>
        <w:spacing w:after="120"/>
        <w:contextualSpacing w:val="0"/>
        <w:rPr>
          <w:color w:val="000000"/>
          <w:sz w:val="22"/>
          <w:szCs w:val="22"/>
        </w:rPr>
      </w:pPr>
      <w:bookmarkStart w:id="70" w:name="_Ref520723880"/>
      <w:r>
        <w:rPr>
          <w:color w:val="000000"/>
          <w:sz w:val="22"/>
          <w:szCs w:val="22"/>
        </w:rPr>
        <w:t xml:space="preserve">Specific Conditions </w:t>
      </w:r>
      <w:r>
        <w:rPr>
          <w:b/>
          <w:color w:val="000000"/>
          <w:sz w:val="22"/>
          <w:szCs w:val="22"/>
        </w:rPr>
        <w:t>G.10</w:t>
      </w:r>
      <w:r>
        <w:rPr>
          <w:color w:val="000000"/>
          <w:sz w:val="22"/>
          <w:szCs w:val="22"/>
        </w:rPr>
        <w:t xml:space="preserve">, </w:t>
      </w:r>
      <w:r>
        <w:rPr>
          <w:b/>
          <w:color w:val="000000"/>
          <w:sz w:val="22"/>
          <w:szCs w:val="22"/>
        </w:rPr>
        <w:t xml:space="preserve">G.11 </w:t>
      </w:r>
      <w:r>
        <w:rPr>
          <w:color w:val="000000"/>
          <w:sz w:val="22"/>
          <w:szCs w:val="22"/>
        </w:rPr>
        <w:t xml:space="preserve">and </w:t>
      </w:r>
      <w:r>
        <w:rPr>
          <w:b/>
          <w:color w:val="000000"/>
          <w:sz w:val="22"/>
          <w:szCs w:val="22"/>
        </w:rPr>
        <w:t>G.12</w:t>
      </w:r>
      <w:r>
        <w:rPr>
          <w:color w:val="000000"/>
          <w:sz w:val="22"/>
          <w:szCs w:val="22"/>
        </w:rPr>
        <w:t xml:space="preserve"> were added to reflect the addition of provisions from 40 CFR 60.4211(c), 60.4211(g) and 60.4212.</w:t>
      </w:r>
      <w:bookmarkEnd w:id="70"/>
    </w:p>
    <w:p w:rsidR="00760F04" w:rsidRDefault="00760F04" w:rsidP="00760F04">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Specific Condition </w:t>
      </w:r>
      <w:r>
        <w:rPr>
          <w:b/>
          <w:color w:val="000000"/>
          <w:sz w:val="22"/>
          <w:szCs w:val="22"/>
        </w:rPr>
        <w:t>G.13</w:t>
      </w:r>
      <w:r>
        <w:rPr>
          <w:color w:val="000000"/>
          <w:sz w:val="22"/>
          <w:szCs w:val="22"/>
        </w:rPr>
        <w:t xml:space="preserve"> (formerly </w:t>
      </w:r>
      <w:r>
        <w:rPr>
          <w:b/>
          <w:color w:val="000000"/>
          <w:sz w:val="22"/>
          <w:szCs w:val="22"/>
        </w:rPr>
        <w:t>G.9</w:t>
      </w:r>
      <w:r>
        <w:rPr>
          <w:color w:val="000000"/>
          <w:sz w:val="22"/>
          <w:szCs w:val="22"/>
        </w:rPr>
        <w:t xml:space="preserve"> of Permit No. 0850001-040-AV) has been deleted, because 40 CFR 60.4211(b) does not apply to engines manufactured after 2011.</w:t>
      </w:r>
    </w:p>
    <w:p w:rsidR="00760F04" w:rsidRDefault="00760F04" w:rsidP="00760F04">
      <w:pPr>
        <w:pStyle w:val="ListParagraph"/>
        <w:numPr>
          <w:ilvl w:val="0"/>
          <w:numId w:val="1"/>
        </w:numPr>
        <w:tabs>
          <w:tab w:val="left" w:pos="360"/>
        </w:tabs>
        <w:spacing w:after="120"/>
        <w:contextualSpacing w:val="0"/>
        <w:rPr>
          <w:color w:val="000000"/>
          <w:sz w:val="22"/>
          <w:szCs w:val="22"/>
        </w:rPr>
      </w:pPr>
      <w:r>
        <w:rPr>
          <w:color w:val="000000"/>
          <w:sz w:val="22"/>
          <w:szCs w:val="22"/>
        </w:rPr>
        <w:t>To reflect current Title V air operation permit format standards, Specific Condition</w:t>
      </w:r>
      <w:r w:rsidR="00757B5E">
        <w:rPr>
          <w:color w:val="000000"/>
          <w:sz w:val="22"/>
          <w:szCs w:val="22"/>
        </w:rPr>
        <w:t xml:space="preserve"> </w:t>
      </w:r>
      <w:r w:rsidR="00757B5E">
        <w:rPr>
          <w:b/>
          <w:color w:val="000000"/>
          <w:sz w:val="22"/>
          <w:szCs w:val="22"/>
        </w:rPr>
        <w:t>G.24</w:t>
      </w:r>
      <w:r w:rsidR="00757B5E">
        <w:rPr>
          <w:color w:val="000000"/>
          <w:sz w:val="22"/>
          <w:szCs w:val="22"/>
        </w:rPr>
        <w:t xml:space="preserve"> (formerly </w:t>
      </w:r>
      <w:r w:rsidR="00757B5E">
        <w:rPr>
          <w:b/>
          <w:color w:val="000000"/>
          <w:sz w:val="22"/>
          <w:szCs w:val="22"/>
        </w:rPr>
        <w:t>G.16</w:t>
      </w:r>
      <w:r w:rsidR="00757B5E">
        <w:rPr>
          <w:color w:val="000000"/>
          <w:sz w:val="22"/>
          <w:szCs w:val="22"/>
        </w:rPr>
        <w:t xml:space="preserve"> of Permit No. 0850001-040-AV) has been deleted and added as Specific Condition</w:t>
      </w:r>
      <w:r>
        <w:rPr>
          <w:color w:val="000000"/>
          <w:sz w:val="22"/>
          <w:szCs w:val="22"/>
        </w:rPr>
        <w:t xml:space="preserve"> </w:t>
      </w:r>
      <w:r>
        <w:rPr>
          <w:b/>
          <w:color w:val="000000"/>
          <w:sz w:val="22"/>
          <w:szCs w:val="22"/>
        </w:rPr>
        <w:t>G.14</w:t>
      </w:r>
      <w:r>
        <w:rPr>
          <w:color w:val="000000"/>
          <w:sz w:val="22"/>
          <w:szCs w:val="22"/>
        </w:rPr>
        <w:t>.</w:t>
      </w:r>
    </w:p>
    <w:p w:rsidR="00760F04" w:rsidRDefault="00760F04" w:rsidP="00760F04">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Specific Conditions </w:t>
      </w:r>
      <w:r>
        <w:rPr>
          <w:b/>
          <w:color w:val="000000"/>
          <w:sz w:val="22"/>
          <w:szCs w:val="22"/>
        </w:rPr>
        <w:t>G.15</w:t>
      </w:r>
      <w:r>
        <w:rPr>
          <w:color w:val="000000"/>
          <w:sz w:val="22"/>
          <w:szCs w:val="22"/>
        </w:rPr>
        <w:t xml:space="preserve">, </w:t>
      </w:r>
      <w:r>
        <w:rPr>
          <w:b/>
          <w:color w:val="000000"/>
          <w:sz w:val="22"/>
          <w:szCs w:val="22"/>
        </w:rPr>
        <w:t>G.16</w:t>
      </w:r>
      <w:r>
        <w:rPr>
          <w:color w:val="000000"/>
          <w:sz w:val="22"/>
          <w:szCs w:val="22"/>
        </w:rPr>
        <w:t xml:space="preserve"> and </w:t>
      </w:r>
      <w:r>
        <w:rPr>
          <w:b/>
          <w:color w:val="000000"/>
          <w:sz w:val="22"/>
          <w:szCs w:val="22"/>
        </w:rPr>
        <w:t>G.17</w:t>
      </w:r>
      <w:r>
        <w:rPr>
          <w:color w:val="000000"/>
          <w:sz w:val="22"/>
          <w:szCs w:val="22"/>
        </w:rPr>
        <w:t xml:space="preserve"> have been deleted because the conditions added in item </w:t>
      </w:r>
      <w:r w:rsidRPr="00760F04">
        <w:rPr>
          <w:b/>
          <w:color w:val="000000"/>
          <w:sz w:val="22"/>
          <w:szCs w:val="22"/>
        </w:rPr>
        <w:fldChar w:fldCharType="begin"/>
      </w:r>
      <w:r w:rsidRPr="00760F04">
        <w:rPr>
          <w:b/>
          <w:color w:val="000000"/>
          <w:sz w:val="22"/>
          <w:szCs w:val="22"/>
        </w:rPr>
        <w:instrText xml:space="preserve"> REF _Ref520723880 \r \h </w:instrText>
      </w:r>
      <w:r>
        <w:rPr>
          <w:b/>
          <w:color w:val="000000"/>
          <w:sz w:val="22"/>
          <w:szCs w:val="22"/>
        </w:rPr>
        <w:instrText xml:space="preserve"> \* MERGEFORMAT </w:instrText>
      </w:r>
      <w:r w:rsidRPr="00760F04">
        <w:rPr>
          <w:b/>
          <w:color w:val="000000"/>
          <w:sz w:val="22"/>
          <w:szCs w:val="22"/>
        </w:rPr>
      </w:r>
      <w:r w:rsidRPr="00760F04">
        <w:rPr>
          <w:b/>
          <w:color w:val="000000"/>
          <w:sz w:val="22"/>
          <w:szCs w:val="22"/>
        </w:rPr>
        <w:fldChar w:fldCharType="separate"/>
      </w:r>
      <w:r w:rsidR="00C76A61">
        <w:rPr>
          <w:b/>
          <w:color w:val="000000"/>
          <w:sz w:val="22"/>
          <w:szCs w:val="22"/>
        </w:rPr>
        <w:t>96</w:t>
      </w:r>
      <w:r w:rsidRPr="00760F04">
        <w:rPr>
          <w:b/>
          <w:color w:val="000000"/>
          <w:sz w:val="22"/>
          <w:szCs w:val="22"/>
        </w:rPr>
        <w:fldChar w:fldCharType="end"/>
      </w:r>
      <w:r>
        <w:rPr>
          <w:color w:val="000000"/>
          <w:sz w:val="22"/>
          <w:szCs w:val="22"/>
        </w:rPr>
        <w:t xml:space="preserve"> more accurately reflect the applicable provisions of NSPS Subpart IIII.  </w:t>
      </w:r>
    </w:p>
    <w:p w:rsidR="00757B5E" w:rsidRDefault="00757B5E" w:rsidP="00760F04">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To reflect current Title V air operation permit format standards, the </w:t>
      </w:r>
      <w:r>
        <w:rPr>
          <w:b/>
          <w:color w:val="000000"/>
          <w:sz w:val="22"/>
          <w:szCs w:val="22"/>
          <w:u w:val="single"/>
        </w:rPr>
        <w:t>Recordkeeping Requirements</w:t>
      </w:r>
      <w:r>
        <w:rPr>
          <w:color w:val="000000"/>
          <w:sz w:val="22"/>
          <w:szCs w:val="22"/>
        </w:rPr>
        <w:t xml:space="preserve"> section has been changed to </w:t>
      </w:r>
      <w:r>
        <w:rPr>
          <w:b/>
          <w:color w:val="000000"/>
          <w:sz w:val="22"/>
          <w:szCs w:val="22"/>
          <w:u w:val="single"/>
        </w:rPr>
        <w:t>Recordkeeping and Reporting Requirements</w:t>
      </w:r>
      <w:r>
        <w:rPr>
          <w:color w:val="000000"/>
          <w:sz w:val="22"/>
          <w:szCs w:val="22"/>
        </w:rPr>
        <w:t>.</w:t>
      </w:r>
    </w:p>
    <w:p w:rsidR="00757B5E" w:rsidRDefault="00757B5E" w:rsidP="00760F04">
      <w:pPr>
        <w:pStyle w:val="ListParagraph"/>
        <w:numPr>
          <w:ilvl w:val="0"/>
          <w:numId w:val="1"/>
        </w:numPr>
        <w:tabs>
          <w:tab w:val="left" w:pos="360"/>
        </w:tabs>
        <w:spacing w:after="120"/>
        <w:contextualSpacing w:val="0"/>
        <w:rPr>
          <w:color w:val="000000"/>
          <w:sz w:val="22"/>
          <w:szCs w:val="22"/>
        </w:rPr>
      </w:pPr>
      <w:r>
        <w:rPr>
          <w:color w:val="000000"/>
          <w:sz w:val="22"/>
          <w:szCs w:val="22"/>
        </w:rPr>
        <w:t>Specific Condition</w:t>
      </w:r>
      <w:r w:rsidR="000F74DE">
        <w:rPr>
          <w:color w:val="000000"/>
          <w:sz w:val="22"/>
          <w:szCs w:val="22"/>
        </w:rPr>
        <w:t>s</w:t>
      </w:r>
      <w:r>
        <w:rPr>
          <w:color w:val="000000"/>
          <w:sz w:val="22"/>
          <w:szCs w:val="22"/>
        </w:rPr>
        <w:t xml:space="preserve"> </w:t>
      </w:r>
      <w:r>
        <w:rPr>
          <w:b/>
          <w:color w:val="000000"/>
          <w:sz w:val="22"/>
          <w:szCs w:val="22"/>
        </w:rPr>
        <w:t>G.18</w:t>
      </w:r>
      <w:r>
        <w:rPr>
          <w:color w:val="000000"/>
          <w:sz w:val="22"/>
          <w:szCs w:val="22"/>
        </w:rPr>
        <w:t xml:space="preserve"> </w:t>
      </w:r>
      <w:r w:rsidR="000F74DE">
        <w:rPr>
          <w:color w:val="000000"/>
          <w:sz w:val="22"/>
          <w:szCs w:val="22"/>
        </w:rPr>
        <w:t xml:space="preserve">and </w:t>
      </w:r>
      <w:r w:rsidR="000F74DE">
        <w:rPr>
          <w:b/>
          <w:color w:val="000000"/>
          <w:sz w:val="22"/>
          <w:szCs w:val="22"/>
        </w:rPr>
        <w:t>G.20</w:t>
      </w:r>
      <w:r w:rsidR="000F74DE">
        <w:rPr>
          <w:color w:val="000000"/>
          <w:sz w:val="22"/>
          <w:szCs w:val="22"/>
        </w:rPr>
        <w:t xml:space="preserve"> </w:t>
      </w:r>
      <w:r>
        <w:rPr>
          <w:color w:val="000000"/>
          <w:sz w:val="22"/>
          <w:szCs w:val="22"/>
        </w:rPr>
        <w:t>h</w:t>
      </w:r>
      <w:r w:rsidR="000F74DE">
        <w:rPr>
          <w:color w:val="000000"/>
          <w:sz w:val="22"/>
          <w:szCs w:val="22"/>
        </w:rPr>
        <w:t>ave</w:t>
      </w:r>
      <w:r>
        <w:rPr>
          <w:color w:val="000000"/>
          <w:sz w:val="22"/>
          <w:szCs w:val="22"/>
        </w:rPr>
        <w:t xml:space="preserve"> been added to reflect current Title V air operation permit format standards.</w:t>
      </w:r>
    </w:p>
    <w:p w:rsidR="00757B5E" w:rsidRPr="00757B5E" w:rsidRDefault="00757B5E" w:rsidP="00760F04">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Minor clarifications were made to Specific Condition </w:t>
      </w:r>
      <w:r>
        <w:rPr>
          <w:b/>
          <w:color w:val="000000"/>
          <w:sz w:val="22"/>
          <w:szCs w:val="22"/>
        </w:rPr>
        <w:t>G.19</w:t>
      </w:r>
      <w:r>
        <w:rPr>
          <w:color w:val="000000"/>
          <w:sz w:val="22"/>
          <w:szCs w:val="22"/>
        </w:rPr>
        <w:t xml:space="preserve"> (formerly </w:t>
      </w:r>
      <w:r>
        <w:rPr>
          <w:b/>
          <w:color w:val="000000"/>
          <w:sz w:val="22"/>
          <w:szCs w:val="22"/>
        </w:rPr>
        <w:t>G.13</w:t>
      </w:r>
      <w:r>
        <w:rPr>
          <w:color w:val="000000"/>
          <w:sz w:val="22"/>
          <w:szCs w:val="22"/>
        </w:rPr>
        <w:t xml:space="preserve"> of Permit No. 0850001-040-AV), which </w:t>
      </w:r>
      <w:r w:rsidRPr="00757B5E">
        <w:rPr>
          <w:color w:val="000000"/>
          <w:sz w:val="22"/>
          <w:szCs w:val="22"/>
        </w:rPr>
        <w:t>appears as follows:</w:t>
      </w:r>
    </w:p>
    <w:p w:rsidR="00757B5E" w:rsidRDefault="00757B5E" w:rsidP="00956930">
      <w:pPr>
        <w:pStyle w:val="ListParagraph"/>
        <w:numPr>
          <w:ilvl w:val="0"/>
          <w:numId w:val="98"/>
        </w:numPr>
        <w:tabs>
          <w:tab w:val="left" w:pos="360"/>
          <w:tab w:val="left" w:pos="1080"/>
        </w:tabs>
        <w:spacing w:after="120"/>
        <w:contextualSpacing w:val="0"/>
        <w:rPr>
          <w:color w:val="000000"/>
          <w:sz w:val="22"/>
          <w:szCs w:val="22"/>
        </w:rPr>
      </w:pPr>
      <w:r w:rsidRPr="00757B5E">
        <w:rPr>
          <w:color w:val="000000"/>
          <w:sz w:val="22"/>
          <w:szCs w:val="22"/>
          <w:highlight w:val="yellow"/>
          <w:u w:val="double"/>
        </w:rPr>
        <w:t>Hours of Operation</w:t>
      </w:r>
      <w:r w:rsidRPr="00757B5E">
        <w:rPr>
          <w:color w:val="000000"/>
          <w:sz w:val="22"/>
          <w:szCs w:val="22"/>
          <w:u w:val="single"/>
        </w:rPr>
        <w:t xml:space="preserve"> </w:t>
      </w:r>
      <w:r w:rsidRPr="00757B5E">
        <w:rPr>
          <w:strike/>
          <w:color w:val="000000"/>
          <w:sz w:val="22"/>
          <w:szCs w:val="22"/>
          <w:highlight w:val="yellow"/>
          <w:u w:val="single"/>
        </w:rPr>
        <w:t>Required</w:t>
      </w:r>
      <w:r w:rsidRPr="00757B5E">
        <w:rPr>
          <w:color w:val="000000"/>
          <w:sz w:val="22"/>
          <w:szCs w:val="22"/>
          <w:u w:val="single"/>
        </w:rPr>
        <w:t xml:space="preserve"> Records</w:t>
      </w:r>
      <w:r w:rsidRPr="00757B5E">
        <w:rPr>
          <w:color w:val="000000"/>
          <w:sz w:val="22"/>
          <w:szCs w:val="22"/>
        </w:rPr>
        <w:t>.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[40 CFR 60.4214</w:t>
      </w:r>
      <w:r w:rsidRPr="00757B5E">
        <w:rPr>
          <w:color w:val="000000"/>
          <w:sz w:val="22"/>
          <w:szCs w:val="22"/>
          <w:highlight w:val="yellow"/>
          <w:u w:val="double"/>
        </w:rPr>
        <w:t>(b)</w:t>
      </w:r>
      <w:r w:rsidRPr="00757B5E">
        <w:rPr>
          <w:color w:val="000000"/>
          <w:sz w:val="22"/>
          <w:szCs w:val="22"/>
        </w:rPr>
        <w:t>]</w:t>
      </w:r>
    </w:p>
    <w:p w:rsidR="00F27592" w:rsidRDefault="00F27592" w:rsidP="000F74DE">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Specific Condition </w:t>
      </w:r>
      <w:r>
        <w:rPr>
          <w:b/>
          <w:color w:val="000000"/>
          <w:sz w:val="22"/>
          <w:szCs w:val="22"/>
        </w:rPr>
        <w:t>G.</w:t>
      </w:r>
      <w:r w:rsidRPr="00F27592">
        <w:rPr>
          <w:b/>
          <w:color w:val="000000"/>
          <w:sz w:val="22"/>
          <w:szCs w:val="22"/>
        </w:rPr>
        <w:t>25</w:t>
      </w:r>
      <w:r w:rsidRPr="00F27592">
        <w:rPr>
          <w:color w:val="000000"/>
          <w:sz w:val="22"/>
          <w:szCs w:val="22"/>
        </w:rPr>
        <w:t xml:space="preserve"> </w:t>
      </w:r>
      <w:r>
        <w:rPr>
          <w:color w:val="000000"/>
          <w:sz w:val="22"/>
          <w:szCs w:val="22"/>
        </w:rPr>
        <w:t xml:space="preserve">(formerly </w:t>
      </w:r>
      <w:r>
        <w:rPr>
          <w:b/>
          <w:color w:val="000000"/>
          <w:sz w:val="22"/>
          <w:szCs w:val="22"/>
        </w:rPr>
        <w:t>G.17</w:t>
      </w:r>
      <w:r>
        <w:rPr>
          <w:color w:val="000000"/>
          <w:sz w:val="22"/>
          <w:szCs w:val="22"/>
        </w:rPr>
        <w:t xml:space="preserve"> of Permit No. 0850001-040-AV) has been deleted, revised and added as Specific Condition </w:t>
      </w:r>
      <w:r>
        <w:rPr>
          <w:b/>
          <w:color w:val="000000"/>
          <w:sz w:val="22"/>
          <w:szCs w:val="22"/>
        </w:rPr>
        <w:t>G.21</w:t>
      </w:r>
      <w:r>
        <w:rPr>
          <w:color w:val="000000"/>
          <w:sz w:val="22"/>
          <w:szCs w:val="22"/>
        </w:rPr>
        <w:t xml:space="preserve"> to reflect current Title V air operation permit format standards.</w:t>
      </w:r>
    </w:p>
    <w:p w:rsidR="00F27592" w:rsidRDefault="000F74DE" w:rsidP="000F74DE">
      <w:pPr>
        <w:pStyle w:val="ListParagraph"/>
        <w:numPr>
          <w:ilvl w:val="0"/>
          <w:numId w:val="1"/>
        </w:numPr>
        <w:tabs>
          <w:tab w:val="left" w:pos="360"/>
        </w:tabs>
        <w:spacing w:after="120"/>
        <w:contextualSpacing w:val="0"/>
        <w:rPr>
          <w:color w:val="000000"/>
          <w:sz w:val="22"/>
          <w:szCs w:val="22"/>
        </w:rPr>
      </w:pPr>
      <w:r>
        <w:rPr>
          <w:color w:val="000000"/>
          <w:sz w:val="22"/>
          <w:szCs w:val="22"/>
        </w:rPr>
        <w:t>Specific Condition</w:t>
      </w:r>
      <w:r w:rsidR="00F27592">
        <w:rPr>
          <w:color w:val="000000"/>
          <w:sz w:val="22"/>
          <w:szCs w:val="22"/>
        </w:rPr>
        <w:t>s</w:t>
      </w:r>
      <w:r>
        <w:rPr>
          <w:color w:val="000000"/>
          <w:sz w:val="22"/>
          <w:szCs w:val="22"/>
        </w:rPr>
        <w:t xml:space="preserve"> </w:t>
      </w:r>
      <w:r>
        <w:rPr>
          <w:b/>
          <w:color w:val="000000"/>
          <w:sz w:val="22"/>
          <w:szCs w:val="22"/>
        </w:rPr>
        <w:t>G.22</w:t>
      </w:r>
      <w:r>
        <w:rPr>
          <w:color w:val="000000"/>
          <w:sz w:val="22"/>
          <w:szCs w:val="22"/>
        </w:rPr>
        <w:t xml:space="preserve"> </w:t>
      </w:r>
      <w:r w:rsidR="00F27592">
        <w:rPr>
          <w:color w:val="000000"/>
          <w:sz w:val="22"/>
          <w:szCs w:val="22"/>
        </w:rPr>
        <w:t xml:space="preserve">and </w:t>
      </w:r>
      <w:r w:rsidR="00F27592">
        <w:rPr>
          <w:b/>
          <w:color w:val="000000"/>
          <w:sz w:val="22"/>
          <w:szCs w:val="22"/>
        </w:rPr>
        <w:t>G.26</w:t>
      </w:r>
      <w:r w:rsidR="00F27592">
        <w:rPr>
          <w:color w:val="000000"/>
          <w:sz w:val="22"/>
          <w:szCs w:val="22"/>
        </w:rPr>
        <w:t xml:space="preserve"> </w:t>
      </w:r>
      <w:r>
        <w:rPr>
          <w:color w:val="000000"/>
          <w:sz w:val="22"/>
          <w:szCs w:val="22"/>
        </w:rPr>
        <w:t xml:space="preserve">(formerly </w:t>
      </w:r>
      <w:r>
        <w:rPr>
          <w:b/>
          <w:color w:val="000000"/>
          <w:sz w:val="22"/>
          <w:szCs w:val="22"/>
        </w:rPr>
        <w:t>G.14</w:t>
      </w:r>
      <w:r>
        <w:rPr>
          <w:color w:val="000000"/>
          <w:sz w:val="22"/>
          <w:szCs w:val="22"/>
        </w:rPr>
        <w:t xml:space="preserve"> </w:t>
      </w:r>
      <w:r w:rsidR="00F27592">
        <w:rPr>
          <w:color w:val="000000"/>
          <w:sz w:val="22"/>
          <w:szCs w:val="22"/>
        </w:rPr>
        <w:t xml:space="preserve">and </w:t>
      </w:r>
      <w:r w:rsidR="00F27592">
        <w:rPr>
          <w:b/>
          <w:color w:val="000000"/>
          <w:sz w:val="22"/>
          <w:szCs w:val="22"/>
        </w:rPr>
        <w:t>G.</w:t>
      </w:r>
      <w:r w:rsidR="00F27592" w:rsidRPr="00F27592">
        <w:rPr>
          <w:b/>
          <w:color w:val="000000"/>
          <w:sz w:val="22"/>
          <w:szCs w:val="22"/>
        </w:rPr>
        <w:t>18</w:t>
      </w:r>
      <w:r w:rsidR="00F27592">
        <w:rPr>
          <w:color w:val="000000"/>
          <w:sz w:val="22"/>
          <w:szCs w:val="22"/>
        </w:rPr>
        <w:t xml:space="preserve">, respectively, </w:t>
      </w:r>
      <w:r w:rsidRPr="00F27592">
        <w:rPr>
          <w:color w:val="000000"/>
          <w:sz w:val="22"/>
          <w:szCs w:val="22"/>
        </w:rPr>
        <w:t>of</w:t>
      </w:r>
      <w:r>
        <w:rPr>
          <w:color w:val="000000"/>
          <w:sz w:val="22"/>
          <w:szCs w:val="22"/>
        </w:rPr>
        <w:t xml:space="preserve"> Permit No. 0850001-040-AV) ha</w:t>
      </w:r>
      <w:r w:rsidR="00F27592">
        <w:rPr>
          <w:color w:val="000000"/>
          <w:sz w:val="22"/>
          <w:szCs w:val="22"/>
        </w:rPr>
        <w:t>ve</w:t>
      </w:r>
      <w:r>
        <w:rPr>
          <w:color w:val="000000"/>
          <w:sz w:val="22"/>
          <w:szCs w:val="22"/>
        </w:rPr>
        <w:t xml:space="preserve"> been </w:t>
      </w:r>
      <w:r w:rsidR="00F27592">
        <w:rPr>
          <w:color w:val="000000"/>
          <w:sz w:val="22"/>
          <w:szCs w:val="22"/>
        </w:rPr>
        <w:t>deleted because</w:t>
      </w:r>
      <w:r>
        <w:rPr>
          <w:color w:val="000000"/>
          <w:sz w:val="22"/>
          <w:szCs w:val="22"/>
        </w:rPr>
        <w:t xml:space="preserve"> the NESHAP Subpart ZZZZ requirements do not apply to engines that are subject to NSPS Subpart IIII. </w:t>
      </w:r>
    </w:p>
    <w:p w:rsidR="00757B5E" w:rsidRDefault="00F27592" w:rsidP="000F74DE">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To reflect current Title V air operation permit format standards, </w:t>
      </w:r>
      <w:r>
        <w:rPr>
          <w:b/>
          <w:color w:val="000000"/>
          <w:sz w:val="22"/>
          <w:szCs w:val="22"/>
          <w:u w:val="single"/>
        </w:rPr>
        <w:t>NSPS 40 CFR 60, Subpart A Requirements</w:t>
      </w:r>
      <w:r>
        <w:rPr>
          <w:color w:val="000000"/>
          <w:sz w:val="22"/>
          <w:szCs w:val="22"/>
        </w:rPr>
        <w:t xml:space="preserve"> and Specific Condition </w:t>
      </w:r>
      <w:r>
        <w:rPr>
          <w:b/>
          <w:color w:val="000000"/>
          <w:sz w:val="22"/>
          <w:szCs w:val="22"/>
        </w:rPr>
        <w:t>G.23</w:t>
      </w:r>
      <w:r>
        <w:rPr>
          <w:color w:val="000000"/>
          <w:sz w:val="22"/>
          <w:szCs w:val="22"/>
        </w:rPr>
        <w:t xml:space="preserve"> (formerly </w:t>
      </w:r>
      <w:r>
        <w:rPr>
          <w:b/>
          <w:color w:val="000000"/>
          <w:sz w:val="22"/>
          <w:szCs w:val="22"/>
        </w:rPr>
        <w:t>G.15</w:t>
      </w:r>
      <w:r>
        <w:rPr>
          <w:color w:val="000000"/>
          <w:sz w:val="22"/>
          <w:szCs w:val="22"/>
        </w:rPr>
        <w:t xml:space="preserve"> of Permit No. 0850001-040-AV) have been deleted and replaced by </w:t>
      </w:r>
      <w:r>
        <w:rPr>
          <w:b/>
          <w:color w:val="000000"/>
          <w:sz w:val="22"/>
          <w:szCs w:val="22"/>
          <w:u w:val="single"/>
        </w:rPr>
        <w:t>General Provisions</w:t>
      </w:r>
      <w:r>
        <w:rPr>
          <w:color w:val="000000"/>
          <w:sz w:val="22"/>
          <w:szCs w:val="22"/>
        </w:rPr>
        <w:t xml:space="preserve"> and Specific Condition </w:t>
      </w:r>
      <w:r>
        <w:rPr>
          <w:b/>
          <w:color w:val="000000"/>
          <w:sz w:val="22"/>
          <w:szCs w:val="22"/>
        </w:rPr>
        <w:t>G.27</w:t>
      </w:r>
      <w:r>
        <w:rPr>
          <w:color w:val="000000"/>
          <w:sz w:val="22"/>
          <w:szCs w:val="22"/>
        </w:rPr>
        <w:t xml:space="preserve">.  </w:t>
      </w:r>
    </w:p>
    <w:p w:rsidR="00F27592" w:rsidRDefault="00F27592" w:rsidP="00F27592">
      <w:pPr>
        <w:tabs>
          <w:tab w:val="left" w:pos="360"/>
        </w:tabs>
        <w:spacing w:after="120"/>
        <w:rPr>
          <w:color w:val="000000"/>
          <w:sz w:val="22"/>
          <w:szCs w:val="22"/>
        </w:rPr>
      </w:pPr>
      <w:r>
        <w:rPr>
          <w:b/>
          <w:color w:val="000000"/>
          <w:sz w:val="22"/>
          <w:szCs w:val="22"/>
          <w:u w:val="single"/>
        </w:rPr>
        <w:t>Changes to Section III., Subsection H.</w:t>
      </w:r>
    </w:p>
    <w:p w:rsidR="00F27592" w:rsidRDefault="00B807C4" w:rsidP="00860021">
      <w:pPr>
        <w:pStyle w:val="ListParagraph"/>
        <w:numPr>
          <w:ilvl w:val="0"/>
          <w:numId w:val="1"/>
        </w:numPr>
        <w:tabs>
          <w:tab w:val="left" w:pos="360"/>
        </w:tabs>
        <w:spacing w:after="120"/>
        <w:contextualSpacing w:val="0"/>
        <w:rPr>
          <w:color w:val="000000"/>
          <w:sz w:val="22"/>
          <w:szCs w:val="22"/>
        </w:rPr>
      </w:pPr>
      <w:r>
        <w:rPr>
          <w:color w:val="000000"/>
          <w:sz w:val="22"/>
          <w:szCs w:val="22"/>
        </w:rPr>
        <w:t>To reflect current Title V air operation permit format standards, the permitting note under the EU description has been revised as follows:</w:t>
      </w:r>
    </w:p>
    <w:p w:rsidR="00B807C4" w:rsidRDefault="00B807C4" w:rsidP="00B807C4">
      <w:pPr>
        <w:pStyle w:val="ListParagraph"/>
        <w:tabs>
          <w:tab w:val="left" w:pos="360"/>
        </w:tabs>
        <w:spacing w:after="120"/>
        <w:ind w:left="360"/>
        <w:contextualSpacing w:val="0"/>
        <w:rPr>
          <w:i/>
          <w:color w:val="000000"/>
          <w:sz w:val="22"/>
          <w:szCs w:val="22"/>
        </w:rPr>
      </w:pPr>
      <w:r w:rsidRPr="00B807C4">
        <w:rPr>
          <w:i/>
          <w:color w:val="000000"/>
          <w:sz w:val="22"/>
          <w:szCs w:val="22"/>
        </w:rPr>
        <w:t>{Permitting Note:  These SI RICE are regulated under</w:t>
      </w:r>
      <w:r w:rsidRPr="00B807C4">
        <w:rPr>
          <w:i/>
          <w:color w:val="000000"/>
          <w:sz w:val="22"/>
          <w:szCs w:val="22"/>
          <w:highlight w:val="yellow"/>
          <w:u w:val="double"/>
        </w:rPr>
        <w:t>:  40 CFR 63, Subpart A, General Provisions, and</w:t>
      </w:r>
      <w:r w:rsidRPr="00B807C4">
        <w:rPr>
          <w:i/>
          <w:color w:val="000000"/>
          <w:sz w:val="22"/>
          <w:szCs w:val="22"/>
        </w:rPr>
        <w:t xml:space="preserve"> 40 CFR 63, Subpart ZZZZ, NESHAP for Stationary RICE adopted </w:t>
      </w:r>
      <w:r w:rsidRPr="00B807C4">
        <w:rPr>
          <w:i/>
          <w:color w:val="000000"/>
          <w:sz w:val="22"/>
          <w:szCs w:val="22"/>
          <w:highlight w:val="yellow"/>
          <w:u w:val="double"/>
        </w:rPr>
        <w:t>by reference</w:t>
      </w:r>
      <w:r w:rsidRPr="00B807C4">
        <w:rPr>
          <w:i/>
          <w:color w:val="000000"/>
          <w:sz w:val="22"/>
          <w:szCs w:val="22"/>
        </w:rPr>
        <w:t xml:space="preserve"> in Rule 62</w:t>
      </w:r>
      <w:r w:rsidRPr="00B807C4">
        <w:rPr>
          <w:i/>
          <w:strike/>
          <w:color w:val="000000"/>
          <w:sz w:val="22"/>
          <w:szCs w:val="22"/>
          <w:highlight w:val="yellow"/>
        </w:rPr>
        <w:t>.</w:t>
      </w:r>
      <w:r w:rsidRPr="00B807C4">
        <w:rPr>
          <w:i/>
          <w:color w:val="000000"/>
          <w:sz w:val="22"/>
          <w:szCs w:val="22"/>
          <w:highlight w:val="yellow"/>
          <w:u w:val="double"/>
        </w:rPr>
        <w:t>-</w:t>
      </w:r>
      <w:r w:rsidRPr="00B807C4">
        <w:rPr>
          <w:i/>
          <w:color w:val="000000"/>
          <w:sz w:val="22"/>
          <w:szCs w:val="22"/>
        </w:rPr>
        <w:t>204.800(11)</w:t>
      </w:r>
      <w:r w:rsidRPr="00B807C4">
        <w:rPr>
          <w:i/>
          <w:color w:val="000000"/>
          <w:sz w:val="22"/>
          <w:szCs w:val="22"/>
          <w:highlight w:val="yellow"/>
          <w:u w:val="double"/>
        </w:rPr>
        <w:t>(d)1. and (11)</w:t>
      </w:r>
      <w:r w:rsidRPr="00B807C4">
        <w:rPr>
          <w:i/>
          <w:color w:val="000000"/>
          <w:sz w:val="22"/>
          <w:szCs w:val="22"/>
        </w:rPr>
        <w:t>(b)</w:t>
      </w:r>
      <w:r w:rsidRPr="00B807C4">
        <w:rPr>
          <w:i/>
          <w:color w:val="000000"/>
          <w:sz w:val="22"/>
          <w:szCs w:val="22"/>
          <w:highlight w:val="yellow"/>
          <w:u w:val="double"/>
        </w:rPr>
        <w:t>82.</w:t>
      </w:r>
      <w:r w:rsidRPr="00B807C4">
        <w:rPr>
          <w:i/>
          <w:color w:val="000000"/>
          <w:sz w:val="22"/>
          <w:szCs w:val="22"/>
        </w:rPr>
        <w:t>, F.A.C.</w:t>
      </w:r>
      <w:r w:rsidRPr="00B807C4">
        <w:rPr>
          <w:i/>
          <w:color w:val="000000"/>
          <w:sz w:val="22"/>
          <w:szCs w:val="22"/>
          <w:highlight w:val="yellow"/>
          <w:u w:val="double"/>
        </w:rPr>
        <w:t>, respectively.</w:t>
      </w:r>
      <w:r w:rsidRPr="00B807C4">
        <w:rPr>
          <w:i/>
          <w:color w:val="000000"/>
          <w:sz w:val="22"/>
          <w:szCs w:val="22"/>
        </w:rPr>
        <w:t xml:space="preserve">  These RICE are exempted from regulations under 40 CFR 60, Subpart JJJJ – </w:t>
      </w:r>
      <w:r w:rsidRPr="00B807C4">
        <w:rPr>
          <w:i/>
          <w:strike/>
          <w:color w:val="000000"/>
          <w:sz w:val="22"/>
          <w:szCs w:val="22"/>
          <w:highlight w:val="yellow"/>
        </w:rPr>
        <w:t>New Source Performance for Stationary Internal Combustion Engines (ICE)</w:t>
      </w:r>
      <w:r w:rsidRPr="00B807C4">
        <w:rPr>
          <w:i/>
          <w:color w:val="000000"/>
          <w:sz w:val="22"/>
          <w:szCs w:val="22"/>
        </w:rPr>
        <w:t xml:space="preserve"> </w:t>
      </w:r>
      <w:r w:rsidRPr="00B807C4">
        <w:rPr>
          <w:i/>
          <w:color w:val="000000"/>
          <w:sz w:val="22"/>
          <w:szCs w:val="22"/>
          <w:highlight w:val="yellow"/>
          <w:u w:val="double"/>
        </w:rPr>
        <w:t>Standards of Performance for Stationary Spark Ignition (SI) ICE</w:t>
      </w:r>
      <w:r w:rsidRPr="00B807C4">
        <w:rPr>
          <w:i/>
          <w:color w:val="000000"/>
          <w:sz w:val="22"/>
          <w:szCs w:val="22"/>
        </w:rPr>
        <w:t xml:space="preserve"> based on the manufacturer date.  These are “existing” stationary SI RICE less than or equal to 500 bhp, with a displacement of less than 10 liters per cylinder that are located at a major source of HAP and that have </w:t>
      </w:r>
      <w:r w:rsidRPr="00B807C4">
        <w:rPr>
          <w:i/>
          <w:color w:val="000000"/>
          <w:sz w:val="22"/>
          <w:szCs w:val="22"/>
          <w:u w:val="single"/>
        </w:rPr>
        <w:t>not</w:t>
      </w:r>
      <w:r w:rsidRPr="00B807C4">
        <w:rPr>
          <w:i/>
          <w:color w:val="000000"/>
          <w:sz w:val="22"/>
          <w:szCs w:val="22"/>
        </w:rPr>
        <w:t xml:space="preserve"> been modified or reconstructed after 6/12/2006.}</w:t>
      </w:r>
    </w:p>
    <w:p w:rsidR="00B807C4" w:rsidRDefault="00B807C4" w:rsidP="00B807C4">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On May 1, 2015, the EPA vacated 40 CFR 63.6640(f)(2)(ii)-(iii).  To reflect the vacation of these paragraphs, Specific Condition </w:t>
      </w:r>
      <w:r>
        <w:rPr>
          <w:b/>
          <w:color w:val="000000"/>
          <w:sz w:val="22"/>
          <w:szCs w:val="22"/>
        </w:rPr>
        <w:t>H.1</w:t>
      </w:r>
      <w:r>
        <w:rPr>
          <w:color w:val="000000"/>
          <w:sz w:val="22"/>
          <w:szCs w:val="22"/>
        </w:rPr>
        <w:t xml:space="preserve"> has been revised as follows:</w:t>
      </w:r>
    </w:p>
    <w:p w:rsidR="00B807C4" w:rsidRPr="00B807C4" w:rsidRDefault="00B807C4" w:rsidP="00956930">
      <w:pPr>
        <w:pStyle w:val="ListParagraph"/>
        <w:numPr>
          <w:ilvl w:val="0"/>
          <w:numId w:val="99"/>
        </w:numPr>
        <w:tabs>
          <w:tab w:val="left" w:pos="360"/>
          <w:tab w:val="left" w:pos="1080"/>
          <w:tab w:val="left" w:pos="1440"/>
        </w:tabs>
        <w:ind w:left="1080"/>
        <w:rPr>
          <w:sz w:val="22"/>
          <w:szCs w:val="22"/>
        </w:rPr>
      </w:pPr>
      <w:r w:rsidRPr="00B807C4">
        <w:rPr>
          <w:sz w:val="22"/>
          <w:szCs w:val="22"/>
          <w:u w:val="single"/>
        </w:rPr>
        <w:t>Hours of Operation</w:t>
      </w:r>
      <w:r w:rsidRPr="00B807C4">
        <w:rPr>
          <w:sz w:val="22"/>
          <w:szCs w:val="22"/>
        </w:rPr>
        <w:t>.</w:t>
      </w:r>
    </w:p>
    <w:p w:rsidR="00B807C4" w:rsidRPr="00B807C4" w:rsidRDefault="00B807C4" w:rsidP="00956930">
      <w:pPr>
        <w:numPr>
          <w:ilvl w:val="1"/>
          <w:numId w:val="100"/>
        </w:numPr>
        <w:tabs>
          <w:tab w:val="left" w:pos="360"/>
          <w:tab w:val="left" w:pos="1080"/>
          <w:tab w:val="left" w:pos="1440"/>
        </w:tabs>
        <w:ind w:left="1080"/>
        <w:rPr>
          <w:sz w:val="22"/>
          <w:szCs w:val="22"/>
        </w:rPr>
      </w:pPr>
      <w:r w:rsidRPr="00B807C4">
        <w:rPr>
          <w:i/>
          <w:sz w:val="22"/>
          <w:szCs w:val="22"/>
        </w:rPr>
        <w:t>Emergency Situations</w:t>
      </w:r>
      <w:r w:rsidRPr="00B807C4">
        <w:rPr>
          <w:sz w:val="22"/>
          <w:szCs w:val="22"/>
        </w:rPr>
        <w:t>.  There is no time limit on the use of emergency stationary RICE in emergency situations.  [40 CFR 63.6640(f)(1)]</w:t>
      </w:r>
    </w:p>
    <w:p w:rsidR="00B807C4" w:rsidRPr="00B807C4" w:rsidRDefault="00B807C4" w:rsidP="00956930">
      <w:pPr>
        <w:numPr>
          <w:ilvl w:val="1"/>
          <w:numId w:val="100"/>
        </w:numPr>
        <w:tabs>
          <w:tab w:val="left" w:pos="360"/>
          <w:tab w:val="left" w:pos="1080"/>
          <w:tab w:val="left" w:pos="1440"/>
        </w:tabs>
        <w:ind w:left="1080"/>
        <w:rPr>
          <w:strike/>
          <w:sz w:val="22"/>
          <w:szCs w:val="22"/>
        </w:rPr>
      </w:pPr>
      <w:bookmarkStart w:id="71" w:name="_Ref520727657"/>
      <w:r w:rsidRPr="00B807C4">
        <w:rPr>
          <w:i/>
          <w:strike/>
          <w:sz w:val="22"/>
          <w:szCs w:val="22"/>
          <w:highlight w:val="yellow"/>
        </w:rPr>
        <w:t>Other Situations</w:t>
      </w:r>
      <w:r w:rsidRPr="00B807C4">
        <w:rPr>
          <w:strike/>
          <w:sz w:val="22"/>
          <w:szCs w:val="22"/>
          <w:highlight w:val="yellow"/>
        </w:rPr>
        <w:t xml:space="preserve">.  You may operate your emergency stationary RICE for any combination of the purposes specified in paragraphs </w:t>
      </w:r>
      <w:r w:rsidRPr="00B807C4">
        <w:rPr>
          <w:b/>
          <w:strike/>
          <w:sz w:val="22"/>
          <w:szCs w:val="22"/>
          <w:highlight w:val="yellow"/>
        </w:rPr>
        <w:t>H.1.b.(1)</w:t>
      </w:r>
      <w:r w:rsidRPr="00B807C4">
        <w:rPr>
          <w:strike/>
          <w:sz w:val="22"/>
          <w:szCs w:val="22"/>
          <w:highlight w:val="yellow"/>
        </w:rPr>
        <w:t xml:space="preserve"> through </w:t>
      </w:r>
      <w:r w:rsidRPr="00B807C4">
        <w:rPr>
          <w:b/>
          <w:strike/>
          <w:sz w:val="22"/>
          <w:szCs w:val="22"/>
          <w:highlight w:val="yellow"/>
        </w:rPr>
        <w:t>(3)</w:t>
      </w:r>
      <w:r w:rsidRPr="00B807C4">
        <w:rPr>
          <w:strike/>
          <w:sz w:val="22"/>
          <w:szCs w:val="22"/>
          <w:highlight w:val="yellow"/>
        </w:rPr>
        <w:t xml:space="preserve"> for a maximum of 100 hours per calendar year.  Any operation for non-emergency situations as allowed by paragraphs </w:t>
      </w:r>
      <w:r w:rsidRPr="00B807C4">
        <w:rPr>
          <w:b/>
          <w:strike/>
          <w:sz w:val="22"/>
          <w:szCs w:val="22"/>
          <w:highlight w:val="yellow"/>
        </w:rPr>
        <w:t>H.1.c.</w:t>
      </w:r>
      <w:r w:rsidRPr="00B807C4">
        <w:rPr>
          <w:strike/>
          <w:sz w:val="22"/>
          <w:szCs w:val="22"/>
          <w:highlight w:val="yellow"/>
        </w:rPr>
        <w:t xml:space="preserve"> of this section counts as part of the 100 hours per calendar year allowed by this paragraph </w:t>
      </w:r>
      <w:r w:rsidRPr="00B807C4">
        <w:rPr>
          <w:b/>
          <w:strike/>
          <w:sz w:val="22"/>
          <w:szCs w:val="22"/>
          <w:highlight w:val="yellow"/>
        </w:rPr>
        <w:t>H.1.b</w:t>
      </w:r>
      <w:r w:rsidRPr="00B807C4">
        <w:rPr>
          <w:strike/>
          <w:sz w:val="22"/>
          <w:szCs w:val="22"/>
          <w:highlight w:val="yellow"/>
        </w:rPr>
        <w:t>.</w:t>
      </w:r>
      <w:bookmarkEnd w:id="71"/>
    </w:p>
    <w:p w:rsidR="00B807C4" w:rsidRPr="00B807C4" w:rsidRDefault="00B807C4" w:rsidP="00956930">
      <w:pPr>
        <w:numPr>
          <w:ilvl w:val="0"/>
          <w:numId w:val="101"/>
        </w:numPr>
        <w:tabs>
          <w:tab w:val="left" w:pos="360"/>
          <w:tab w:val="left" w:pos="720"/>
          <w:tab w:val="left" w:pos="1440"/>
        </w:tabs>
        <w:ind w:left="1440"/>
        <w:rPr>
          <w:sz w:val="22"/>
          <w:szCs w:val="22"/>
          <w:highlight w:val="yellow"/>
        </w:rPr>
      </w:pPr>
      <w:r w:rsidRPr="00B807C4">
        <w:rPr>
          <w:i/>
          <w:sz w:val="22"/>
          <w:szCs w:val="22"/>
        </w:rPr>
        <w:t>Maintenance and Testing</w:t>
      </w:r>
      <w:r w:rsidRPr="00B807C4">
        <w:rPr>
          <w:sz w:val="22"/>
          <w:szCs w:val="22"/>
        </w:rPr>
        <w:t>.  Each RICE is authorized to operate</w:t>
      </w:r>
      <w:r w:rsidR="009D2F2D">
        <w:rPr>
          <w:sz w:val="22"/>
          <w:szCs w:val="22"/>
        </w:rPr>
        <w:t xml:space="preserve"> </w:t>
      </w:r>
      <w:r w:rsidR="009D2F2D" w:rsidRPr="009D2F2D">
        <w:rPr>
          <w:sz w:val="22"/>
          <w:szCs w:val="22"/>
          <w:highlight w:val="yellow"/>
          <w:u w:val="double"/>
        </w:rPr>
        <w:t xml:space="preserve">for a </w:t>
      </w:r>
      <w:r w:rsidR="00A31C4B" w:rsidRPr="009D2F2D">
        <w:rPr>
          <w:sz w:val="22"/>
          <w:szCs w:val="22"/>
          <w:highlight w:val="yellow"/>
          <w:u w:val="double"/>
        </w:rPr>
        <w:t>maximum of 100 hours per calendar year</w:t>
      </w:r>
      <w:r w:rsidRPr="00B807C4">
        <w:rPr>
          <w:sz w:val="22"/>
          <w:szCs w:val="22"/>
        </w:rPr>
        <w:t xml:space="preserv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B807C4">
        <w:rPr>
          <w:color w:val="000000"/>
          <w:sz w:val="22"/>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B807C4">
        <w:rPr>
          <w:sz w:val="22"/>
          <w:szCs w:val="22"/>
        </w:rPr>
        <w:t>[40 CFR 63.6640(f)(2)(i)]</w:t>
      </w:r>
    </w:p>
    <w:p w:rsidR="00B807C4" w:rsidRPr="00B807C4" w:rsidRDefault="00B807C4" w:rsidP="00956930">
      <w:pPr>
        <w:numPr>
          <w:ilvl w:val="0"/>
          <w:numId w:val="101"/>
        </w:numPr>
        <w:tabs>
          <w:tab w:val="left" w:pos="360"/>
          <w:tab w:val="left" w:pos="720"/>
          <w:tab w:val="left" w:pos="1440"/>
        </w:tabs>
        <w:ind w:left="1440"/>
        <w:rPr>
          <w:strike/>
          <w:sz w:val="22"/>
          <w:szCs w:val="22"/>
          <w:highlight w:val="yellow"/>
        </w:rPr>
      </w:pPr>
      <w:r w:rsidRPr="00B807C4">
        <w:rPr>
          <w:strike/>
          <w:sz w:val="22"/>
          <w:szCs w:val="22"/>
          <w:highlight w:val="yellow"/>
        </w:rPr>
        <w:t>Emergency Demand Response.  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63.6640(f)(2)(ii)]</w:t>
      </w:r>
    </w:p>
    <w:p w:rsidR="00B807C4" w:rsidRPr="00B807C4" w:rsidRDefault="00B807C4" w:rsidP="00956930">
      <w:pPr>
        <w:numPr>
          <w:ilvl w:val="0"/>
          <w:numId w:val="101"/>
        </w:numPr>
        <w:tabs>
          <w:tab w:val="left" w:pos="360"/>
          <w:tab w:val="left" w:pos="720"/>
          <w:tab w:val="left" w:pos="1440"/>
        </w:tabs>
        <w:ind w:left="1440"/>
        <w:rPr>
          <w:strike/>
          <w:sz w:val="22"/>
          <w:szCs w:val="22"/>
          <w:highlight w:val="yellow"/>
        </w:rPr>
      </w:pPr>
      <w:r w:rsidRPr="00B807C4">
        <w:rPr>
          <w:strike/>
          <w:sz w:val="22"/>
          <w:szCs w:val="22"/>
          <w:highlight w:val="yellow"/>
        </w:rPr>
        <w:t>Voltage or Frequency Deviations.  Emergency stationary RICE may be operated for periods where there is a deviation of voltage or frequency of 5 percent or greater below standard voltage or frequency.  [40 CFR 63.6640(f)(2)(iii)]</w:t>
      </w:r>
    </w:p>
    <w:p w:rsidR="00B807C4" w:rsidRPr="00B807C4" w:rsidRDefault="00B807C4" w:rsidP="00956930">
      <w:pPr>
        <w:numPr>
          <w:ilvl w:val="1"/>
          <w:numId w:val="100"/>
        </w:numPr>
        <w:tabs>
          <w:tab w:val="left" w:pos="360"/>
          <w:tab w:val="left" w:pos="1080"/>
          <w:tab w:val="left" w:pos="1440"/>
        </w:tabs>
        <w:ind w:left="1080"/>
        <w:rPr>
          <w:sz w:val="22"/>
          <w:szCs w:val="22"/>
        </w:rPr>
      </w:pPr>
      <w:r w:rsidRPr="00B807C4">
        <w:rPr>
          <w:i/>
          <w:sz w:val="22"/>
          <w:szCs w:val="22"/>
        </w:rPr>
        <w:t>Non-emergency Situations</w:t>
      </w:r>
      <w:r w:rsidRPr="00B807C4">
        <w:rPr>
          <w:sz w:val="22"/>
          <w:szCs w:val="22"/>
        </w:rPr>
        <w:t>.  These RICE may be operated for up to 50 hours per calendar year in non</w:t>
      </w:r>
      <w:r w:rsidRPr="00B807C4">
        <w:rPr>
          <w:sz w:val="22"/>
          <w:szCs w:val="22"/>
          <w:highlight w:val="yellow"/>
          <w:u w:val="double"/>
        </w:rPr>
        <w:t>-</w:t>
      </w:r>
      <w:r w:rsidRPr="00B807C4">
        <w:rPr>
          <w:sz w:val="22"/>
          <w:szCs w:val="22"/>
        </w:rPr>
        <w:t xml:space="preserve">emergency situations.  The 50 hours of operation in non-emergency situations are counted as part of the 100 hours per calendar year for maintenance and testing </w:t>
      </w:r>
      <w:r w:rsidRPr="009D2F2D">
        <w:rPr>
          <w:strike/>
          <w:sz w:val="22"/>
          <w:szCs w:val="22"/>
          <w:highlight w:val="yellow"/>
        </w:rPr>
        <w:t>and emergency demand response</w:t>
      </w:r>
      <w:r w:rsidRPr="00B807C4">
        <w:rPr>
          <w:sz w:val="22"/>
          <w:szCs w:val="22"/>
        </w:rPr>
        <w:t xml:space="preserve"> provided in paragraph </w:t>
      </w:r>
      <w:r w:rsidRPr="00B807C4">
        <w:rPr>
          <w:b/>
          <w:sz w:val="22"/>
          <w:szCs w:val="22"/>
        </w:rPr>
        <w:fldChar w:fldCharType="begin"/>
      </w:r>
      <w:r w:rsidRPr="00B807C4">
        <w:rPr>
          <w:b/>
          <w:sz w:val="22"/>
          <w:szCs w:val="22"/>
        </w:rPr>
        <w:instrText xml:space="preserve"> REF _Ref520727657 \r \h  \* MERGEFORMAT </w:instrText>
      </w:r>
      <w:r w:rsidRPr="00B807C4">
        <w:rPr>
          <w:b/>
          <w:sz w:val="22"/>
          <w:szCs w:val="22"/>
        </w:rPr>
      </w:r>
      <w:r w:rsidRPr="00B807C4">
        <w:rPr>
          <w:b/>
          <w:sz w:val="22"/>
          <w:szCs w:val="22"/>
        </w:rPr>
        <w:fldChar w:fldCharType="separate"/>
      </w:r>
      <w:r w:rsidR="00C76A61">
        <w:rPr>
          <w:b/>
          <w:sz w:val="22"/>
          <w:szCs w:val="22"/>
        </w:rPr>
        <w:t>b</w:t>
      </w:r>
      <w:r w:rsidRPr="00B807C4">
        <w:rPr>
          <w:b/>
          <w:sz w:val="22"/>
          <w:szCs w:val="22"/>
        </w:rPr>
        <w:fldChar w:fldCharType="end"/>
      </w:r>
      <w:r w:rsidRPr="00B807C4">
        <w:rPr>
          <w:strike/>
          <w:sz w:val="22"/>
          <w:szCs w:val="22"/>
          <w:highlight w:val="yellow"/>
        </w:rPr>
        <w:t>.</w:t>
      </w:r>
      <w:r w:rsidRPr="00B807C4">
        <w:rPr>
          <w:sz w:val="22"/>
          <w:szCs w:val="22"/>
        </w:rPr>
        <w:t xml:space="preserve">, above.  The 50 hours per year for non-emergency situations cannot be used for peak shaving or non-emergency demand response, or to generate income for a facility to supply power to an electric grid or otherwise supply power as part of a financial arrangement with another entity.  </w:t>
      </w:r>
    </w:p>
    <w:p w:rsidR="00B807C4" w:rsidRPr="00B807C4" w:rsidRDefault="00B807C4" w:rsidP="00B807C4">
      <w:pPr>
        <w:tabs>
          <w:tab w:val="left" w:pos="360"/>
          <w:tab w:val="left" w:pos="720"/>
          <w:tab w:val="left" w:pos="1080"/>
          <w:tab w:val="left" w:pos="1440"/>
        </w:tabs>
        <w:spacing w:after="120"/>
        <w:ind w:left="360"/>
        <w:rPr>
          <w:sz w:val="22"/>
          <w:szCs w:val="22"/>
        </w:rPr>
      </w:pPr>
      <w:r w:rsidRPr="00B807C4">
        <w:rPr>
          <w:sz w:val="22"/>
          <w:szCs w:val="22"/>
        </w:rPr>
        <w:t>[40 CFR 63.6640(f)</w:t>
      </w:r>
      <w:r w:rsidRPr="00B807C4">
        <w:rPr>
          <w:strike/>
          <w:sz w:val="22"/>
          <w:szCs w:val="22"/>
          <w:highlight w:val="yellow"/>
        </w:rPr>
        <w:t>(3)</w:t>
      </w:r>
      <w:r w:rsidRPr="00B807C4">
        <w:rPr>
          <w:sz w:val="22"/>
          <w:szCs w:val="22"/>
        </w:rPr>
        <w:t>]</w:t>
      </w:r>
    </w:p>
    <w:p w:rsidR="00B807C4" w:rsidRDefault="00B807C4" w:rsidP="00B807C4">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To reflect current Title V air operation permits, Specific Conditions </w:t>
      </w:r>
      <w:r>
        <w:rPr>
          <w:b/>
          <w:color w:val="000000"/>
          <w:sz w:val="22"/>
          <w:szCs w:val="22"/>
        </w:rPr>
        <w:t>H.8</w:t>
      </w:r>
      <w:r>
        <w:rPr>
          <w:color w:val="000000"/>
          <w:sz w:val="22"/>
          <w:szCs w:val="22"/>
        </w:rPr>
        <w:t xml:space="preserve"> and </w:t>
      </w:r>
      <w:r>
        <w:rPr>
          <w:b/>
          <w:color w:val="000000"/>
          <w:sz w:val="22"/>
          <w:szCs w:val="22"/>
        </w:rPr>
        <w:t>H.10</w:t>
      </w:r>
      <w:r>
        <w:rPr>
          <w:color w:val="000000"/>
          <w:sz w:val="22"/>
          <w:szCs w:val="22"/>
        </w:rPr>
        <w:t xml:space="preserve"> were added to this subsection.</w:t>
      </w:r>
    </w:p>
    <w:p w:rsidR="00B807C4" w:rsidRDefault="00B807C4" w:rsidP="00B807C4">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40 CFR 63.6645(a) was added to the citation under Specific Condition </w:t>
      </w:r>
      <w:r>
        <w:rPr>
          <w:b/>
          <w:color w:val="000000"/>
          <w:sz w:val="22"/>
          <w:szCs w:val="22"/>
        </w:rPr>
        <w:t>H.11</w:t>
      </w:r>
      <w:r>
        <w:rPr>
          <w:color w:val="000000"/>
          <w:sz w:val="22"/>
          <w:szCs w:val="22"/>
        </w:rPr>
        <w:t xml:space="preserve"> (formerly </w:t>
      </w:r>
      <w:r>
        <w:rPr>
          <w:b/>
          <w:color w:val="000000"/>
          <w:sz w:val="22"/>
          <w:szCs w:val="22"/>
        </w:rPr>
        <w:t>H.9</w:t>
      </w:r>
      <w:r>
        <w:rPr>
          <w:color w:val="000000"/>
          <w:sz w:val="22"/>
          <w:szCs w:val="22"/>
        </w:rPr>
        <w:t xml:space="preserve"> of Permit No. 0850001-040-AV).</w:t>
      </w:r>
      <w:r w:rsidR="000E6FE4">
        <w:rPr>
          <w:color w:val="000000"/>
          <w:sz w:val="22"/>
          <w:szCs w:val="22"/>
        </w:rPr>
        <w:t xml:space="preserve">  The hyperlinks in this specific condition have been revised as follows:</w:t>
      </w:r>
    </w:p>
    <w:p w:rsidR="000E6FE4" w:rsidRPr="000E6FE4" w:rsidRDefault="000E6FE4" w:rsidP="000E6FE4">
      <w:pPr>
        <w:pStyle w:val="ListParagraph"/>
        <w:numPr>
          <w:ilvl w:val="0"/>
          <w:numId w:val="108"/>
        </w:numPr>
        <w:tabs>
          <w:tab w:val="left" w:pos="1080"/>
        </w:tabs>
        <w:spacing w:after="120"/>
        <w:ind w:hanging="360"/>
        <w:rPr>
          <w:color w:val="000000"/>
          <w:sz w:val="22"/>
          <w:szCs w:val="22"/>
        </w:rPr>
      </w:pPr>
      <w:r w:rsidRPr="000E6FE4">
        <w:rPr>
          <w:sz w:val="22"/>
          <w:szCs w:val="22"/>
          <w:u w:val="single"/>
        </w:rPr>
        <w:t xml:space="preserve">40 CFR 63 Subpart A </w:t>
      </w:r>
      <w:r>
        <w:rPr>
          <w:sz w:val="22"/>
          <w:szCs w:val="22"/>
          <w:u w:val="single"/>
        </w:rPr>
        <w:t>–</w:t>
      </w:r>
      <w:r w:rsidRPr="000E6FE4">
        <w:rPr>
          <w:sz w:val="22"/>
          <w:szCs w:val="22"/>
          <w:u w:val="single"/>
        </w:rPr>
        <w:t xml:space="preserve"> General Provisions</w:t>
      </w:r>
      <w:r w:rsidRPr="000E6FE4">
        <w:rPr>
          <w:sz w:val="22"/>
          <w:szCs w:val="22"/>
        </w:rPr>
        <w:t xml:space="preserve">.  The owner or operator shall comply with the following applicable requirements of 40 CFR 63 Subpart A – General Provisions, which have been adopted by reference in Rule 62-204.800(11)(d)1., F.A.C., except that the Secretary is not the Administrator for purposes of 40 CFR 63.5(e), 40 CFR 63.5(f), 40 CFR 63.6(g), 40 CFR 63.6(h)(9), 40 CFR 63.6(j), 40 CFR 63.13, and 40 CFR 63.14.  </w:t>
      </w:r>
      <w:hyperlink r:id="rId15" w:history="1">
        <w:r w:rsidRPr="000E6FE4">
          <w:rPr>
            <w:rStyle w:val="Hyperlink"/>
            <w:sz w:val="22"/>
            <w:szCs w:val="22"/>
          </w:rPr>
          <w:t xml:space="preserve">Link to </w:t>
        </w:r>
        <w:r w:rsidRPr="000E6FE4">
          <w:rPr>
            <w:rStyle w:val="Hyperlink"/>
            <w:strike/>
            <w:sz w:val="22"/>
            <w:szCs w:val="22"/>
            <w:highlight w:val="yellow"/>
          </w:rPr>
          <w:t>40 CFR 63,</w:t>
        </w:r>
        <w:r w:rsidRPr="000E6FE4">
          <w:rPr>
            <w:rStyle w:val="Hyperlink"/>
            <w:sz w:val="22"/>
            <w:szCs w:val="22"/>
          </w:rPr>
          <w:t xml:space="preserve"> Subpart A </w:t>
        </w:r>
        <w:r w:rsidRPr="000E6FE4">
          <w:rPr>
            <w:rStyle w:val="Hyperlink"/>
            <w:strike/>
            <w:sz w:val="22"/>
            <w:szCs w:val="22"/>
            <w:highlight w:val="yellow"/>
          </w:rPr>
          <w:t>– General Provisions</w:t>
        </w:r>
      </w:hyperlink>
      <w:r w:rsidRPr="000E6FE4">
        <w:rPr>
          <w:sz w:val="22"/>
          <w:szCs w:val="22"/>
        </w:rPr>
        <w:t xml:space="preserve"> and </w:t>
      </w:r>
      <w:hyperlink r:id="rId16" w:tooltip=" " w:history="1">
        <w:r w:rsidRPr="000E6FE4">
          <w:rPr>
            <w:rStyle w:val="Hyperlink"/>
            <w:sz w:val="22"/>
            <w:szCs w:val="22"/>
            <w:highlight w:val="yellow"/>
            <w:u w:val="double"/>
          </w:rPr>
          <w:t>Link to Subpart ZZZZ</w:t>
        </w:r>
      </w:hyperlink>
      <w:r w:rsidRPr="000E6FE4">
        <w:rPr>
          <w:sz w:val="22"/>
          <w:szCs w:val="22"/>
          <w:highlight w:val="yellow"/>
          <w:u w:val="double"/>
        </w:rPr>
        <w:t>.</w:t>
      </w:r>
    </w:p>
    <w:p w:rsidR="00B807C4" w:rsidRDefault="00B807C4" w:rsidP="00B807C4">
      <w:pPr>
        <w:tabs>
          <w:tab w:val="left" w:pos="360"/>
        </w:tabs>
        <w:spacing w:after="120"/>
        <w:rPr>
          <w:color w:val="000000"/>
          <w:sz w:val="22"/>
          <w:szCs w:val="22"/>
        </w:rPr>
      </w:pPr>
      <w:r>
        <w:rPr>
          <w:b/>
          <w:color w:val="000000"/>
          <w:sz w:val="22"/>
          <w:szCs w:val="22"/>
          <w:u w:val="single"/>
        </w:rPr>
        <w:t>Changes to Section III., Subsection I.</w:t>
      </w:r>
    </w:p>
    <w:p w:rsidR="00B807C4" w:rsidRDefault="00F93C61" w:rsidP="00F93C61">
      <w:pPr>
        <w:pStyle w:val="ListParagraph"/>
        <w:numPr>
          <w:ilvl w:val="0"/>
          <w:numId w:val="1"/>
        </w:numPr>
        <w:tabs>
          <w:tab w:val="left" w:pos="360"/>
        </w:tabs>
        <w:spacing w:after="120"/>
        <w:contextualSpacing w:val="0"/>
        <w:rPr>
          <w:color w:val="000000"/>
          <w:sz w:val="22"/>
          <w:szCs w:val="22"/>
        </w:rPr>
      </w:pPr>
      <w:r>
        <w:rPr>
          <w:color w:val="000000"/>
          <w:sz w:val="22"/>
          <w:szCs w:val="22"/>
        </w:rPr>
        <w:t>The EU description has been updated to reflect current Title V air operation permit format standards and the future addition of the facility data center and emergency engine.  The revisions appear as follows:</w:t>
      </w:r>
    </w:p>
    <w:tbl>
      <w:tblPr>
        <w:tblW w:w="9630" w:type="dxa"/>
        <w:tblInd w:w="3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948"/>
        <w:gridCol w:w="8682"/>
      </w:tblGrid>
      <w:tr w:rsidR="00F93C61" w:rsidRPr="00F93C61" w:rsidTr="00F93C61">
        <w:trPr>
          <w:trHeight w:val="255"/>
        </w:trPr>
        <w:tc>
          <w:tcPr>
            <w:tcW w:w="948" w:type="dxa"/>
            <w:tcBorders>
              <w:top w:val="single" w:sz="12" w:space="0" w:color="auto"/>
              <w:bottom w:val="single" w:sz="12" w:space="0" w:color="auto"/>
            </w:tcBorders>
          </w:tcPr>
          <w:p w:rsidR="00F93C61" w:rsidRPr="00F93C61" w:rsidRDefault="00F93C61" w:rsidP="00F93C61">
            <w:pPr>
              <w:jc w:val="center"/>
              <w:rPr>
                <w:b/>
                <w:sz w:val="22"/>
                <w:szCs w:val="22"/>
              </w:rPr>
            </w:pPr>
            <w:r w:rsidRPr="00F93C61">
              <w:rPr>
                <w:sz w:val="22"/>
                <w:szCs w:val="22"/>
              </w:rPr>
              <w:br w:type="page"/>
            </w:r>
            <w:r w:rsidRPr="00F93C61">
              <w:rPr>
                <w:sz w:val="22"/>
                <w:szCs w:val="22"/>
              </w:rPr>
              <w:br w:type="page"/>
            </w:r>
            <w:r w:rsidRPr="00F93C61">
              <w:rPr>
                <w:b/>
                <w:sz w:val="22"/>
                <w:szCs w:val="22"/>
              </w:rPr>
              <w:t>EU No.</w:t>
            </w:r>
          </w:p>
        </w:tc>
        <w:tc>
          <w:tcPr>
            <w:tcW w:w="8682" w:type="dxa"/>
            <w:tcBorders>
              <w:top w:val="single" w:sz="12" w:space="0" w:color="auto"/>
              <w:bottom w:val="single" w:sz="12" w:space="0" w:color="auto"/>
            </w:tcBorders>
          </w:tcPr>
          <w:p w:rsidR="00F93C61" w:rsidRPr="00F93C61" w:rsidRDefault="00F93C61" w:rsidP="00F93C61">
            <w:pPr>
              <w:rPr>
                <w:b/>
                <w:sz w:val="22"/>
                <w:szCs w:val="22"/>
              </w:rPr>
            </w:pPr>
            <w:r w:rsidRPr="00F93C61">
              <w:rPr>
                <w:b/>
                <w:sz w:val="22"/>
                <w:szCs w:val="22"/>
              </w:rPr>
              <w:t>Brief Description</w:t>
            </w:r>
          </w:p>
        </w:tc>
      </w:tr>
      <w:tr w:rsidR="00F93C61" w:rsidRPr="00F93C61" w:rsidTr="00F93C61">
        <w:trPr>
          <w:trHeight w:val="263"/>
        </w:trPr>
        <w:tc>
          <w:tcPr>
            <w:tcW w:w="948" w:type="dxa"/>
            <w:tcBorders>
              <w:top w:val="single" w:sz="12" w:space="0" w:color="auto"/>
              <w:bottom w:val="single" w:sz="6" w:space="0" w:color="auto"/>
            </w:tcBorders>
            <w:vAlign w:val="center"/>
          </w:tcPr>
          <w:p w:rsidR="00F93C61" w:rsidRPr="00F93C61" w:rsidRDefault="00F93C61" w:rsidP="00F93C61">
            <w:pPr>
              <w:jc w:val="center"/>
              <w:rPr>
                <w:sz w:val="22"/>
                <w:szCs w:val="22"/>
              </w:rPr>
            </w:pPr>
            <w:r w:rsidRPr="00F93C61">
              <w:rPr>
                <w:sz w:val="22"/>
                <w:szCs w:val="22"/>
              </w:rPr>
              <w:t>024</w:t>
            </w:r>
          </w:p>
        </w:tc>
        <w:tc>
          <w:tcPr>
            <w:tcW w:w="8682" w:type="dxa"/>
            <w:tcBorders>
              <w:top w:val="single" w:sz="12" w:space="0" w:color="auto"/>
              <w:bottom w:val="single" w:sz="6" w:space="0" w:color="auto"/>
            </w:tcBorders>
            <w:vAlign w:val="center"/>
          </w:tcPr>
          <w:p w:rsidR="00F93C61" w:rsidRPr="00F93C61" w:rsidRDefault="00F93C61" w:rsidP="00F93C61">
            <w:pPr>
              <w:rPr>
                <w:sz w:val="22"/>
                <w:szCs w:val="22"/>
              </w:rPr>
            </w:pPr>
            <w:r w:rsidRPr="00F93C61">
              <w:rPr>
                <w:strike/>
                <w:sz w:val="22"/>
                <w:szCs w:val="22"/>
                <w:highlight w:val="yellow"/>
              </w:rPr>
              <w:t>Spark Ignition</w:t>
            </w:r>
            <w:r w:rsidRPr="00F93C61">
              <w:rPr>
                <w:sz w:val="22"/>
                <w:szCs w:val="22"/>
              </w:rPr>
              <w:t xml:space="preserve"> </w:t>
            </w:r>
            <w:r w:rsidRPr="00F93C61">
              <w:rPr>
                <w:sz w:val="22"/>
                <w:szCs w:val="22"/>
                <w:highlight w:val="yellow"/>
                <w:u w:val="double"/>
              </w:rPr>
              <w:t>SI</w:t>
            </w:r>
            <w:r w:rsidRPr="00F93C61">
              <w:rPr>
                <w:sz w:val="22"/>
                <w:szCs w:val="22"/>
              </w:rPr>
              <w:t xml:space="preserve"> Engine-driven Emergency Generator</w:t>
            </w:r>
          </w:p>
        </w:tc>
      </w:tr>
      <w:tr w:rsidR="00F93C61" w:rsidRPr="00F93C61" w:rsidTr="00F93C61">
        <w:trPr>
          <w:trHeight w:val="255"/>
        </w:trPr>
        <w:tc>
          <w:tcPr>
            <w:tcW w:w="948" w:type="dxa"/>
            <w:tcBorders>
              <w:top w:val="single" w:sz="6" w:space="0" w:color="auto"/>
              <w:bottom w:val="single" w:sz="12" w:space="0" w:color="auto"/>
            </w:tcBorders>
            <w:vAlign w:val="center"/>
          </w:tcPr>
          <w:p w:rsidR="00F93C61" w:rsidRPr="00F93C61" w:rsidRDefault="00F93C61" w:rsidP="00F93C61">
            <w:pPr>
              <w:jc w:val="center"/>
              <w:rPr>
                <w:sz w:val="22"/>
                <w:szCs w:val="22"/>
                <w:u w:val="double"/>
              </w:rPr>
            </w:pPr>
            <w:r w:rsidRPr="00F93C61">
              <w:rPr>
                <w:sz w:val="22"/>
                <w:szCs w:val="22"/>
                <w:highlight w:val="yellow"/>
                <w:u w:val="double"/>
              </w:rPr>
              <w:t>027</w:t>
            </w:r>
          </w:p>
        </w:tc>
        <w:tc>
          <w:tcPr>
            <w:tcW w:w="8682" w:type="dxa"/>
            <w:tcBorders>
              <w:top w:val="single" w:sz="6" w:space="0" w:color="auto"/>
              <w:bottom w:val="single" w:sz="12" w:space="0" w:color="auto"/>
            </w:tcBorders>
            <w:vAlign w:val="center"/>
          </w:tcPr>
          <w:p w:rsidR="00F93C61" w:rsidRPr="00F93C61" w:rsidRDefault="00F93C61" w:rsidP="00F93C61">
            <w:pPr>
              <w:rPr>
                <w:sz w:val="22"/>
                <w:u w:val="double"/>
              </w:rPr>
            </w:pPr>
            <w:r w:rsidRPr="00F93C61">
              <w:rPr>
                <w:sz w:val="22"/>
                <w:highlight w:val="yellow"/>
                <w:u w:val="double"/>
              </w:rPr>
              <w:t>Data Center Emergency SI RICE</w:t>
            </w:r>
          </w:p>
        </w:tc>
      </w:tr>
    </w:tbl>
    <w:p w:rsidR="00F93C61" w:rsidRPr="00F93C61" w:rsidRDefault="00F93C61" w:rsidP="00F93C61">
      <w:pPr>
        <w:spacing w:before="120" w:after="120"/>
        <w:ind w:left="360"/>
        <w:rPr>
          <w:sz w:val="22"/>
          <w:szCs w:val="22"/>
        </w:rPr>
      </w:pPr>
      <w:r w:rsidRPr="00F93C61">
        <w:rPr>
          <w:strike/>
          <w:sz w:val="22"/>
          <w:szCs w:val="22"/>
          <w:highlight w:val="yellow"/>
        </w:rPr>
        <w:t>Emissions Unit</w:t>
      </w:r>
      <w:r w:rsidRPr="00F93C61">
        <w:rPr>
          <w:sz w:val="22"/>
          <w:szCs w:val="22"/>
        </w:rPr>
        <w:t xml:space="preserve"> </w:t>
      </w:r>
      <w:r w:rsidRPr="00F93C61">
        <w:rPr>
          <w:sz w:val="22"/>
          <w:szCs w:val="22"/>
          <w:highlight w:val="yellow"/>
          <w:u w:val="double"/>
        </w:rPr>
        <w:t>EU No.</w:t>
      </w:r>
      <w:r w:rsidRPr="00F93C61">
        <w:rPr>
          <w:sz w:val="22"/>
          <w:szCs w:val="22"/>
        </w:rPr>
        <w:t xml:space="preserve"> 024 is an emergency generator/engine set, </w:t>
      </w:r>
      <w:r w:rsidRPr="00F93C61">
        <w:rPr>
          <w:strike/>
          <w:sz w:val="22"/>
          <w:szCs w:val="22"/>
          <w:highlight w:val="yellow"/>
        </w:rPr>
        <w:t>spark ignition (</w:t>
      </w:r>
      <w:r w:rsidRPr="00F93C61">
        <w:rPr>
          <w:sz w:val="22"/>
          <w:szCs w:val="22"/>
        </w:rPr>
        <w:t>SI</w:t>
      </w:r>
      <w:r w:rsidRPr="00F93C61">
        <w:rPr>
          <w:strike/>
          <w:sz w:val="22"/>
          <w:szCs w:val="22"/>
          <w:highlight w:val="yellow"/>
        </w:rPr>
        <w:t>)</w:t>
      </w:r>
      <w:r w:rsidRPr="00F93C61">
        <w:rPr>
          <w:sz w:val="22"/>
          <w:szCs w:val="22"/>
        </w:rPr>
        <w:t xml:space="preserve"> four-stroke </w:t>
      </w:r>
      <w:r w:rsidRPr="00F93C61">
        <w:rPr>
          <w:strike/>
          <w:sz w:val="22"/>
          <w:szCs w:val="22"/>
          <w:highlight w:val="yellow"/>
        </w:rPr>
        <w:t>reciprocating internal combustion engine (</w:t>
      </w:r>
      <w:r w:rsidRPr="00F93C61">
        <w:rPr>
          <w:sz w:val="22"/>
          <w:szCs w:val="22"/>
        </w:rPr>
        <w:t>RICE</w:t>
      </w:r>
      <w:r w:rsidRPr="00F93C61">
        <w:rPr>
          <w:strike/>
          <w:sz w:val="22"/>
          <w:szCs w:val="22"/>
          <w:highlight w:val="yellow"/>
        </w:rPr>
        <w:t>)</w:t>
      </w:r>
      <w:r w:rsidRPr="00F93C61">
        <w:rPr>
          <w:sz w:val="22"/>
          <w:szCs w:val="22"/>
        </w:rPr>
        <w:t xml:space="preserve"> that fires natural gas with a maximum engine power of 48 HP at 100% load (approximately 30 kW).  The engine has never been reconstructed or modified.</w:t>
      </w:r>
    </w:p>
    <w:p w:rsidR="00F93C61" w:rsidRPr="00F93C61" w:rsidRDefault="00F93C61" w:rsidP="00F93C61">
      <w:pPr>
        <w:spacing w:before="120" w:after="120"/>
        <w:ind w:left="360"/>
        <w:rPr>
          <w:sz w:val="22"/>
          <w:szCs w:val="22"/>
          <w:u w:val="double"/>
        </w:rPr>
      </w:pPr>
      <w:r w:rsidRPr="00F93C61">
        <w:rPr>
          <w:sz w:val="22"/>
          <w:szCs w:val="22"/>
          <w:highlight w:val="yellow"/>
          <w:u w:val="double"/>
        </w:rPr>
        <w:t>EU No. 027 is an SI emergency engine-electrical generator that fires propane with a maximum engine horsepower of 71 HP at its rated kW (45 kW).  This engine-generator set supplies emergency power to a phone room/data center that will be added to the facility.</w:t>
      </w:r>
      <w:r w:rsidRPr="00F93C61">
        <w:rPr>
          <w:sz w:val="22"/>
          <w:szCs w:val="22"/>
          <w:u w:val="double"/>
        </w:rPr>
        <w:t xml:space="preserve">  </w:t>
      </w:r>
    </w:p>
    <w:p w:rsidR="00F93C61" w:rsidRDefault="00F93C61" w:rsidP="00F93C61">
      <w:pPr>
        <w:pStyle w:val="ListParagraph"/>
        <w:tabs>
          <w:tab w:val="left" w:pos="360"/>
        </w:tabs>
        <w:spacing w:before="120" w:after="120"/>
        <w:ind w:left="360"/>
        <w:contextualSpacing w:val="0"/>
        <w:rPr>
          <w:sz w:val="22"/>
          <w:szCs w:val="22"/>
        </w:rPr>
      </w:pPr>
      <w:r w:rsidRPr="00F93C61">
        <w:rPr>
          <w:sz w:val="22"/>
          <w:szCs w:val="22"/>
        </w:rPr>
        <w:t xml:space="preserve">The following table provides important details for the engines </w:t>
      </w:r>
      <w:r w:rsidRPr="00F93C61">
        <w:rPr>
          <w:strike/>
          <w:sz w:val="22"/>
          <w:szCs w:val="22"/>
          <w:highlight w:val="yellow"/>
        </w:rPr>
        <w:t>collectively</w:t>
      </w:r>
      <w:r w:rsidRPr="00F93C61">
        <w:rPr>
          <w:sz w:val="22"/>
          <w:szCs w:val="22"/>
        </w:rPr>
        <w:t xml:space="preserve"> regulated as EU </w:t>
      </w:r>
      <w:r w:rsidRPr="00F93C61">
        <w:rPr>
          <w:sz w:val="22"/>
          <w:szCs w:val="22"/>
          <w:highlight w:val="yellow"/>
          <w:u w:val="double"/>
        </w:rPr>
        <w:t>Nos.</w:t>
      </w:r>
      <w:r w:rsidRPr="00F93C61">
        <w:rPr>
          <w:sz w:val="22"/>
          <w:szCs w:val="22"/>
        </w:rPr>
        <w:t xml:space="preserve"> 024 </w:t>
      </w:r>
      <w:r w:rsidRPr="00F93C61">
        <w:rPr>
          <w:sz w:val="22"/>
          <w:szCs w:val="22"/>
          <w:highlight w:val="yellow"/>
          <w:u w:val="double"/>
        </w:rPr>
        <w:t>and 027</w:t>
      </w:r>
      <w:r w:rsidRPr="00F93C61">
        <w:rPr>
          <w:sz w:val="22"/>
          <w:szCs w:val="22"/>
        </w:rPr>
        <w:t>:</w:t>
      </w:r>
    </w:p>
    <w:tbl>
      <w:tblPr>
        <w:tblW w:w="9630" w:type="dxa"/>
        <w:tblInd w:w="3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620"/>
        <w:gridCol w:w="1260"/>
        <w:gridCol w:w="1530"/>
        <w:gridCol w:w="900"/>
        <w:gridCol w:w="1710"/>
        <w:gridCol w:w="1620"/>
        <w:gridCol w:w="990"/>
      </w:tblGrid>
      <w:tr w:rsidR="00F93C61" w:rsidRPr="00F93C61" w:rsidTr="00F93C61">
        <w:trPr>
          <w:trHeight w:val="555"/>
        </w:trPr>
        <w:tc>
          <w:tcPr>
            <w:tcW w:w="1620" w:type="dxa"/>
            <w:tcBorders>
              <w:top w:val="single" w:sz="12" w:space="0" w:color="auto"/>
              <w:left w:val="single" w:sz="12" w:space="0" w:color="auto"/>
              <w:bottom w:val="single" w:sz="12" w:space="0" w:color="auto"/>
              <w:right w:val="single" w:sz="6" w:space="0" w:color="auto"/>
            </w:tcBorders>
            <w:shd w:val="clear" w:color="auto" w:fill="auto"/>
            <w:vAlign w:val="center"/>
            <w:hideMark/>
          </w:tcPr>
          <w:p w:rsidR="00F93C61" w:rsidRPr="00F93C61" w:rsidRDefault="00F93C61" w:rsidP="00F93C61">
            <w:pPr>
              <w:ind w:right="-18"/>
              <w:jc w:val="center"/>
              <w:rPr>
                <w:b/>
                <w:sz w:val="22"/>
                <w:szCs w:val="22"/>
              </w:rPr>
            </w:pPr>
            <w:r w:rsidRPr="00F93C61">
              <w:rPr>
                <w:b/>
                <w:sz w:val="22"/>
                <w:szCs w:val="22"/>
              </w:rPr>
              <w:t>Engine Identification</w:t>
            </w:r>
          </w:p>
        </w:tc>
        <w:tc>
          <w:tcPr>
            <w:tcW w:w="1260" w:type="dxa"/>
            <w:tcBorders>
              <w:top w:val="single" w:sz="12" w:space="0" w:color="auto"/>
              <w:left w:val="single" w:sz="6" w:space="0" w:color="auto"/>
              <w:bottom w:val="single" w:sz="12" w:space="0" w:color="auto"/>
              <w:right w:val="single" w:sz="6" w:space="0" w:color="auto"/>
            </w:tcBorders>
            <w:shd w:val="clear" w:color="auto" w:fill="auto"/>
            <w:vAlign w:val="center"/>
            <w:hideMark/>
          </w:tcPr>
          <w:p w:rsidR="00F93C61" w:rsidRPr="00F93C61" w:rsidRDefault="00F93C61" w:rsidP="00F93C61">
            <w:pPr>
              <w:jc w:val="center"/>
              <w:rPr>
                <w:sz w:val="22"/>
                <w:szCs w:val="22"/>
              </w:rPr>
            </w:pPr>
            <w:r w:rsidRPr="00F93C61">
              <w:rPr>
                <w:b/>
                <w:sz w:val="22"/>
                <w:szCs w:val="22"/>
              </w:rPr>
              <w:t>Engine Brake HP</w:t>
            </w:r>
          </w:p>
        </w:tc>
        <w:tc>
          <w:tcPr>
            <w:tcW w:w="1530" w:type="dxa"/>
            <w:tcBorders>
              <w:top w:val="single" w:sz="12" w:space="0" w:color="auto"/>
              <w:left w:val="single" w:sz="6" w:space="0" w:color="auto"/>
              <w:bottom w:val="single" w:sz="12" w:space="0" w:color="auto"/>
              <w:right w:val="single" w:sz="6" w:space="0" w:color="auto"/>
            </w:tcBorders>
            <w:shd w:val="clear" w:color="auto" w:fill="auto"/>
            <w:vAlign w:val="center"/>
            <w:hideMark/>
          </w:tcPr>
          <w:p w:rsidR="00F93C61" w:rsidRPr="00F93C61" w:rsidRDefault="00F93C61" w:rsidP="00F93C61">
            <w:pPr>
              <w:jc w:val="center"/>
              <w:rPr>
                <w:sz w:val="22"/>
                <w:szCs w:val="22"/>
              </w:rPr>
            </w:pPr>
            <w:r w:rsidRPr="00F93C61">
              <w:rPr>
                <w:b/>
                <w:sz w:val="22"/>
                <w:szCs w:val="22"/>
              </w:rPr>
              <w:t>Date of Construction</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hideMark/>
          </w:tcPr>
          <w:p w:rsidR="00F93C61" w:rsidRPr="00F93C61" w:rsidRDefault="00F93C61" w:rsidP="00F93C61">
            <w:pPr>
              <w:jc w:val="center"/>
              <w:rPr>
                <w:b/>
                <w:sz w:val="22"/>
                <w:szCs w:val="22"/>
              </w:rPr>
            </w:pPr>
            <w:r w:rsidRPr="00F93C61">
              <w:rPr>
                <w:b/>
                <w:sz w:val="22"/>
                <w:szCs w:val="22"/>
              </w:rPr>
              <w:t>Model Year</w:t>
            </w:r>
          </w:p>
        </w:tc>
        <w:tc>
          <w:tcPr>
            <w:tcW w:w="1710" w:type="dxa"/>
            <w:tcBorders>
              <w:top w:val="single" w:sz="12" w:space="0" w:color="auto"/>
              <w:left w:val="single" w:sz="6" w:space="0" w:color="auto"/>
              <w:bottom w:val="single" w:sz="12" w:space="0" w:color="auto"/>
              <w:right w:val="single" w:sz="6" w:space="0" w:color="auto"/>
            </w:tcBorders>
            <w:shd w:val="clear" w:color="auto" w:fill="auto"/>
            <w:vAlign w:val="center"/>
            <w:hideMark/>
          </w:tcPr>
          <w:p w:rsidR="00F93C61" w:rsidRPr="00F93C61" w:rsidRDefault="00F93C61" w:rsidP="00F93C61">
            <w:pPr>
              <w:jc w:val="center"/>
              <w:rPr>
                <w:sz w:val="22"/>
                <w:szCs w:val="22"/>
              </w:rPr>
            </w:pPr>
            <w:r w:rsidRPr="00F93C61">
              <w:rPr>
                <w:b/>
                <w:sz w:val="22"/>
                <w:szCs w:val="22"/>
              </w:rPr>
              <w:t>Displacement liters/cylinder (l/c)</w:t>
            </w:r>
          </w:p>
        </w:tc>
        <w:tc>
          <w:tcPr>
            <w:tcW w:w="1620" w:type="dxa"/>
            <w:tcBorders>
              <w:top w:val="single" w:sz="12" w:space="0" w:color="auto"/>
              <w:left w:val="single" w:sz="6" w:space="0" w:color="auto"/>
              <w:bottom w:val="single" w:sz="12" w:space="0" w:color="auto"/>
              <w:right w:val="single" w:sz="6" w:space="0" w:color="auto"/>
            </w:tcBorders>
            <w:shd w:val="clear" w:color="auto" w:fill="auto"/>
            <w:vAlign w:val="center"/>
            <w:hideMark/>
          </w:tcPr>
          <w:p w:rsidR="00F93C61" w:rsidRPr="00F93C61" w:rsidRDefault="00F93C61" w:rsidP="00F93C61">
            <w:pPr>
              <w:jc w:val="center"/>
              <w:rPr>
                <w:b/>
                <w:sz w:val="22"/>
                <w:szCs w:val="22"/>
              </w:rPr>
            </w:pPr>
            <w:r w:rsidRPr="00F93C61">
              <w:rPr>
                <w:b/>
                <w:sz w:val="22"/>
                <w:szCs w:val="22"/>
              </w:rPr>
              <w:t>Engine Manufacturer</w:t>
            </w:r>
          </w:p>
        </w:tc>
        <w:tc>
          <w:tcPr>
            <w:tcW w:w="990" w:type="dxa"/>
            <w:tcBorders>
              <w:top w:val="single" w:sz="12" w:space="0" w:color="auto"/>
              <w:left w:val="single" w:sz="6" w:space="0" w:color="auto"/>
              <w:bottom w:val="single" w:sz="12" w:space="0" w:color="auto"/>
              <w:right w:val="single" w:sz="12" w:space="0" w:color="auto"/>
            </w:tcBorders>
            <w:shd w:val="clear" w:color="auto" w:fill="auto"/>
            <w:vAlign w:val="center"/>
            <w:hideMark/>
          </w:tcPr>
          <w:p w:rsidR="00F93C61" w:rsidRPr="00F93C61" w:rsidRDefault="00F93C61" w:rsidP="00F93C61">
            <w:pPr>
              <w:jc w:val="center"/>
              <w:rPr>
                <w:b/>
                <w:sz w:val="22"/>
                <w:szCs w:val="22"/>
              </w:rPr>
            </w:pPr>
            <w:r w:rsidRPr="00F93C61">
              <w:rPr>
                <w:b/>
                <w:sz w:val="22"/>
                <w:szCs w:val="22"/>
              </w:rPr>
              <w:t>Model No.</w:t>
            </w:r>
          </w:p>
        </w:tc>
      </w:tr>
      <w:tr w:rsidR="00F93C61" w:rsidRPr="00F93C61" w:rsidTr="00F93C61">
        <w:trPr>
          <w:trHeight w:val="663"/>
        </w:trPr>
        <w:tc>
          <w:tcPr>
            <w:tcW w:w="1620" w:type="dxa"/>
            <w:tcBorders>
              <w:top w:val="single" w:sz="12" w:space="0" w:color="auto"/>
              <w:left w:val="single" w:sz="12" w:space="0" w:color="auto"/>
              <w:bottom w:val="single" w:sz="6" w:space="0" w:color="auto"/>
              <w:right w:val="single" w:sz="6" w:space="0" w:color="auto"/>
            </w:tcBorders>
            <w:vAlign w:val="center"/>
            <w:hideMark/>
          </w:tcPr>
          <w:p w:rsidR="00F93C61" w:rsidRPr="00F93C61" w:rsidRDefault="00F93C61" w:rsidP="00F93C61">
            <w:pPr>
              <w:ind w:right="-18"/>
              <w:jc w:val="center"/>
              <w:rPr>
                <w:sz w:val="22"/>
                <w:szCs w:val="22"/>
              </w:rPr>
            </w:pPr>
            <w:r w:rsidRPr="00F93C61">
              <w:rPr>
                <w:strike/>
                <w:sz w:val="22"/>
                <w:szCs w:val="22"/>
                <w:highlight w:val="yellow"/>
              </w:rPr>
              <w:t>Emergency SI Generator</w:t>
            </w:r>
            <w:r w:rsidRPr="00F93C61">
              <w:rPr>
                <w:sz w:val="22"/>
                <w:szCs w:val="22"/>
              </w:rPr>
              <w:t xml:space="preserve"> </w:t>
            </w:r>
            <w:r w:rsidRPr="00F93C61">
              <w:rPr>
                <w:sz w:val="22"/>
                <w:szCs w:val="22"/>
                <w:highlight w:val="yellow"/>
                <w:u w:val="double"/>
              </w:rPr>
              <w:t>EU No. 024</w:t>
            </w:r>
          </w:p>
        </w:tc>
        <w:tc>
          <w:tcPr>
            <w:tcW w:w="1260" w:type="dxa"/>
            <w:tcBorders>
              <w:top w:val="single" w:sz="12" w:space="0" w:color="auto"/>
              <w:left w:val="single" w:sz="6" w:space="0" w:color="auto"/>
              <w:bottom w:val="single" w:sz="6" w:space="0" w:color="auto"/>
              <w:right w:val="single" w:sz="6" w:space="0" w:color="auto"/>
            </w:tcBorders>
            <w:vAlign w:val="center"/>
            <w:hideMark/>
          </w:tcPr>
          <w:p w:rsidR="00F93C61" w:rsidRPr="00F93C61" w:rsidRDefault="00F93C61" w:rsidP="00F93C61">
            <w:pPr>
              <w:jc w:val="center"/>
              <w:rPr>
                <w:sz w:val="22"/>
                <w:szCs w:val="22"/>
              </w:rPr>
            </w:pPr>
            <w:r w:rsidRPr="00F93C61">
              <w:rPr>
                <w:sz w:val="22"/>
                <w:szCs w:val="22"/>
              </w:rPr>
              <w:t>48</w:t>
            </w:r>
          </w:p>
          <w:p w:rsidR="00F93C61" w:rsidRPr="00F93C61" w:rsidRDefault="00F93C61" w:rsidP="00F93C61">
            <w:pPr>
              <w:jc w:val="center"/>
              <w:rPr>
                <w:sz w:val="22"/>
                <w:szCs w:val="22"/>
              </w:rPr>
            </w:pPr>
            <w:r w:rsidRPr="00F93C61">
              <w:rPr>
                <w:sz w:val="22"/>
                <w:szCs w:val="22"/>
              </w:rPr>
              <w:t>(30 kW)</w:t>
            </w:r>
          </w:p>
        </w:tc>
        <w:tc>
          <w:tcPr>
            <w:tcW w:w="1530" w:type="dxa"/>
            <w:tcBorders>
              <w:top w:val="single" w:sz="12" w:space="0" w:color="auto"/>
              <w:left w:val="single" w:sz="6" w:space="0" w:color="auto"/>
              <w:bottom w:val="single" w:sz="6" w:space="0" w:color="auto"/>
              <w:right w:val="single" w:sz="6" w:space="0" w:color="auto"/>
            </w:tcBorders>
            <w:vAlign w:val="center"/>
            <w:hideMark/>
          </w:tcPr>
          <w:p w:rsidR="00F93C61" w:rsidRPr="00F93C61" w:rsidRDefault="00F93C61" w:rsidP="00F93C61">
            <w:pPr>
              <w:jc w:val="center"/>
              <w:rPr>
                <w:sz w:val="22"/>
                <w:szCs w:val="22"/>
              </w:rPr>
            </w:pPr>
            <w:r w:rsidRPr="00F93C61">
              <w:rPr>
                <w:sz w:val="22"/>
                <w:szCs w:val="22"/>
              </w:rPr>
              <w:t>2013</w:t>
            </w:r>
          </w:p>
        </w:tc>
        <w:tc>
          <w:tcPr>
            <w:tcW w:w="900" w:type="dxa"/>
            <w:tcBorders>
              <w:top w:val="single" w:sz="12" w:space="0" w:color="auto"/>
              <w:left w:val="single" w:sz="6" w:space="0" w:color="auto"/>
              <w:bottom w:val="single" w:sz="6" w:space="0" w:color="auto"/>
              <w:right w:val="single" w:sz="6" w:space="0" w:color="auto"/>
            </w:tcBorders>
            <w:vAlign w:val="center"/>
            <w:hideMark/>
          </w:tcPr>
          <w:p w:rsidR="00F93C61" w:rsidRPr="00F93C61" w:rsidRDefault="00F93C61" w:rsidP="00F93C61">
            <w:pPr>
              <w:jc w:val="center"/>
              <w:rPr>
                <w:sz w:val="22"/>
                <w:szCs w:val="22"/>
              </w:rPr>
            </w:pPr>
            <w:r w:rsidRPr="00F93C61">
              <w:rPr>
                <w:sz w:val="22"/>
                <w:szCs w:val="22"/>
              </w:rPr>
              <w:t>2013</w:t>
            </w:r>
          </w:p>
        </w:tc>
        <w:tc>
          <w:tcPr>
            <w:tcW w:w="1710" w:type="dxa"/>
            <w:tcBorders>
              <w:top w:val="single" w:sz="12" w:space="0" w:color="auto"/>
              <w:left w:val="single" w:sz="6" w:space="0" w:color="auto"/>
              <w:bottom w:val="single" w:sz="6" w:space="0" w:color="auto"/>
              <w:right w:val="single" w:sz="6" w:space="0" w:color="auto"/>
            </w:tcBorders>
            <w:vAlign w:val="center"/>
            <w:hideMark/>
          </w:tcPr>
          <w:p w:rsidR="00F93C61" w:rsidRPr="00F93C61" w:rsidRDefault="00F93C61" w:rsidP="00F93C61">
            <w:pPr>
              <w:jc w:val="center"/>
              <w:rPr>
                <w:sz w:val="22"/>
                <w:szCs w:val="22"/>
              </w:rPr>
            </w:pPr>
            <w:r w:rsidRPr="00F93C61">
              <w:rPr>
                <w:sz w:val="22"/>
                <w:szCs w:val="22"/>
              </w:rPr>
              <w:t>0.5</w:t>
            </w:r>
          </w:p>
        </w:tc>
        <w:tc>
          <w:tcPr>
            <w:tcW w:w="1620" w:type="dxa"/>
            <w:tcBorders>
              <w:top w:val="single" w:sz="12" w:space="0" w:color="auto"/>
              <w:left w:val="single" w:sz="6" w:space="0" w:color="auto"/>
              <w:bottom w:val="single" w:sz="6" w:space="0" w:color="auto"/>
              <w:right w:val="single" w:sz="6" w:space="0" w:color="auto"/>
            </w:tcBorders>
            <w:vAlign w:val="center"/>
            <w:hideMark/>
          </w:tcPr>
          <w:p w:rsidR="00F93C61" w:rsidRPr="00F93C61" w:rsidRDefault="00F93C61" w:rsidP="00F93C61">
            <w:pPr>
              <w:jc w:val="center"/>
              <w:rPr>
                <w:sz w:val="22"/>
                <w:szCs w:val="22"/>
              </w:rPr>
            </w:pPr>
            <w:r w:rsidRPr="00F93C61">
              <w:rPr>
                <w:sz w:val="22"/>
                <w:szCs w:val="22"/>
              </w:rPr>
              <w:t>Generac</w:t>
            </w:r>
          </w:p>
        </w:tc>
        <w:tc>
          <w:tcPr>
            <w:tcW w:w="990" w:type="dxa"/>
            <w:tcBorders>
              <w:top w:val="single" w:sz="12" w:space="0" w:color="auto"/>
              <w:left w:val="single" w:sz="6" w:space="0" w:color="auto"/>
              <w:bottom w:val="single" w:sz="6" w:space="0" w:color="auto"/>
              <w:right w:val="single" w:sz="12" w:space="0" w:color="auto"/>
            </w:tcBorders>
            <w:vAlign w:val="center"/>
            <w:hideMark/>
          </w:tcPr>
          <w:p w:rsidR="00F93C61" w:rsidRPr="00F93C61" w:rsidRDefault="00F93C61" w:rsidP="00F93C61">
            <w:pPr>
              <w:jc w:val="center"/>
              <w:rPr>
                <w:sz w:val="22"/>
                <w:szCs w:val="22"/>
              </w:rPr>
            </w:pPr>
            <w:r w:rsidRPr="00F93C61">
              <w:rPr>
                <w:sz w:val="22"/>
                <w:szCs w:val="22"/>
              </w:rPr>
              <w:t>QT030</w:t>
            </w:r>
          </w:p>
        </w:tc>
      </w:tr>
      <w:tr w:rsidR="00F93C61" w:rsidRPr="00F93C61" w:rsidTr="00F93C61">
        <w:trPr>
          <w:trHeight w:val="663"/>
        </w:trPr>
        <w:tc>
          <w:tcPr>
            <w:tcW w:w="1620" w:type="dxa"/>
            <w:tcBorders>
              <w:top w:val="single" w:sz="6" w:space="0" w:color="auto"/>
              <w:left w:val="single" w:sz="12" w:space="0" w:color="auto"/>
              <w:bottom w:val="single" w:sz="12" w:space="0" w:color="auto"/>
              <w:right w:val="single" w:sz="6" w:space="0" w:color="auto"/>
            </w:tcBorders>
            <w:vAlign w:val="center"/>
          </w:tcPr>
          <w:p w:rsidR="00F93C61" w:rsidRPr="00F93C61" w:rsidRDefault="00F93C61" w:rsidP="00F93C61">
            <w:pPr>
              <w:ind w:right="-18"/>
              <w:jc w:val="center"/>
              <w:rPr>
                <w:sz w:val="22"/>
                <w:szCs w:val="22"/>
                <w:u w:val="double"/>
              </w:rPr>
            </w:pPr>
            <w:r w:rsidRPr="00F93C61">
              <w:rPr>
                <w:sz w:val="22"/>
                <w:szCs w:val="22"/>
                <w:highlight w:val="yellow"/>
                <w:u w:val="double"/>
              </w:rPr>
              <w:t>EU No. 027</w:t>
            </w:r>
          </w:p>
        </w:tc>
        <w:tc>
          <w:tcPr>
            <w:tcW w:w="1260" w:type="dxa"/>
            <w:tcBorders>
              <w:top w:val="single" w:sz="6" w:space="0" w:color="auto"/>
              <w:left w:val="single" w:sz="6" w:space="0" w:color="auto"/>
              <w:bottom w:val="single" w:sz="12" w:space="0" w:color="auto"/>
              <w:right w:val="single" w:sz="6" w:space="0" w:color="auto"/>
            </w:tcBorders>
            <w:vAlign w:val="center"/>
          </w:tcPr>
          <w:p w:rsidR="00F93C61" w:rsidRPr="00F93C61" w:rsidRDefault="00F93C61" w:rsidP="00F93C61">
            <w:pPr>
              <w:jc w:val="center"/>
              <w:rPr>
                <w:sz w:val="22"/>
                <w:szCs w:val="22"/>
                <w:highlight w:val="yellow"/>
                <w:u w:val="double"/>
              </w:rPr>
            </w:pPr>
            <w:r w:rsidRPr="00F93C61">
              <w:rPr>
                <w:sz w:val="22"/>
                <w:szCs w:val="22"/>
                <w:highlight w:val="yellow"/>
                <w:u w:val="double"/>
              </w:rPr>
              <w:t>82</w:t>
            </w:r>
          </w:p>
          <w:p w:rsidR="00F93C61" w:rsidRPr="00F93C61" w:rsidRDefault="00F93C61" w:rsidP="00F93C61">
            <w:pPr>
              <w:jc w:val="center"/>
              <w:rPr>
                <w:sz w:val="22"/>
                <w:szCs w:val="22"/>
                <w:u w:val="double"/>
              </w:rPr>
            </w:pPr>
            <w:r w:rsidRPr="00F93C61">
              <w:rPr>
                <w:sz w:val="22"/>
                <w:szCs w:val="22"/>
                <w:highlight w:val="yellow"/>
                <w:u w:val="double"/>
              </w:rPr>
              <w:t>(61 kW)</w:t>
            </w:r>
          </w:p>
        </w:tc>
        <w:tc>
          <w:tcPr>
            <w:tcW w:w="1530" w:type="dxa"/>
            <w:tcBorders>
              <w:top w:val="single" w:sz="6" w:space="0" w:color="auto"/>
              <w:left w:val="single" w:sz="6" w:space="0" w:color="auto"/>
              <w:bottom w:val="single" w:sz="12" w:space="0" w:color="auto"/>
              <w:right w:val="single" w:sz="6" w:space="0" w:color="auto"/>
            </w:tcBorders>
            <w:vAlign w:val="center"/>
          </w:tcPr>
          <w:p w:rsidR="00F93C61" w:rsidRPr="00F93C61" w:rsidRDefault="00F93C61" w:rsidP="00F93C61">
            <w:pPr>
              <w:jc w:val="center"/>
              <w:rPr>
                <w:sz w:val="22"/>
                <w:szCs w:val="22"/>
                <w:highlight w:val="yellow"/>
                <w:u w:val="double"/>
              </w:rPr>
            </w:pPr>
            <w:r w:rsidRPr="00F93C61">
              <w:rPr>
                <w:sz w:val="22"/>
                <w:szCs w:val="22"/>
                <w:highlight w:val="yellow"/>
                <w:u w:val="double"/>
              </w:rPr>
              <w:t>201</w:t>
            </w:r>
            <w:r w:rsidR="005525DE">
              <w:rPr>
                <w:sz w:val="22"/>
                <w:szCs w:val="22"/>
                <w:highlight w:val="yellow"/>
                <w:u w:val="double"/>
              </w:rPr>
              <w:t>8</w:t>
            </w:r>
          </w:p>
        </w:tc>
        <w:tc>
          <w:tcPr>
            <w:tcW w:w="900" w:type="dxa"/>
            <w:tcBorders>
              <w:top w:val="single" w:sz="6" w:space="0" w:color="auto"/>
              <w:left w:val="single" w:sz="6" w:space="0" w:color="auto"/>
              <w:bottom w:val="single" w:sz="12" w:space="0" w:color="auto"/>
              <w:right w:val="single" w:sz="6" w:space="0" w:color="auto"/>
            </w:tcBorders>
            <w:vAlign w:val="center"/>
          </w:tcPr>
          <w:p w:rsidR="00F93C61" w:rsidRPr="00F93C61" w:rsidRDefault="00F93C61" w:rsidP="00F93C61">
            <w:pPr>
              <w:jc w:val="center"/>
              <w:rPr>
                <w:sz w:val="22"/>
                <w:szCs w:val="22"/>
                <w:highlight w:val="yellow"/>
                <w:u w:val="double"/>
              </w:rPr>
            </w:pPr>
            <w:r w:rsidRPr="00F93C61">
              <w:rPr>
                <w:sz w:val="22"/>
                <w:szCs w:val="22"/>
                <w:highlight w:val="yellow"/>
                <w:u w:val="double"/>
              </w:rPr>
              <w:t>2017</w:t>
            </w:r>
          </w:p>
        </w:tc>
        <w:tc>
          <w:tcPr>
            <w:tcW w:w="1710" w:type="dxa"/>
            <w:tcBorders>
              <w:top w:val="single" w:sz="6" w:space="0" w:color="auto"/>
              <w:left w:val="single" w:sz="6" w:space="0" w:color="auto"/>
              <w:bottom w:val="single" w:sz="12" w:space="0" w:color="auto"/>
              <w:right w:val="single" w:sz="6" w:space="0" w:color="auto"/>
            </w:tcBorders>
            <w:vAlign w:val="center"/>
          </w:tcPr>
          <w:p w:rsidR="00F93C61" w:rsidRPr="00F93C61" w:rsidRDefault="00F93C61" w:rsidP="00F93C61">
            <w:pPr>
              <w:jc w:val="center"/>
              <w:rPr>
                <w:sz w:val="22"/>
                <w:szCs w:val="22"/>
                <w:highlight w:val="yellow"/>
                <w:u w:val="double"/>
              </w:rPr>
            </w:pPr>
            <w:r w:rsidRPr="00F93C61">
              <w:rPr>
                <w:sz w:val="22"/>
                <w:szCs w:val="22"/>
                <w:highlight w:val="yellow"/>
                <w:u w:val="double"/>
              </w:rPr>
              <w:t>0.675</w:t>
            </w:r>
          </w:p>
        </w:tc>
        <w:tc>
          <w:tcPr>
            <w:tcW w:w="1620" w:type="dxa"/>
            <w:tcBorders>
              <w:top w:val="single" w:sz="6" w:space="0" w:color="auto"/>
              <w:left w:val="single" w:sz="6" w:space="0" w:color="auto"/>
              <w:bottom w:val="single" w:sz="12" w:space="0" w:color="auto"/>
              <w:right w:val="single" w:sz="6" w:space="0" w:color="auto"/>
            </w:tcBorders>
            <w:vAlign w:val="center"/>
          </w:tcPr>
          <w:p w:rsidR="00F93C61" w:rsidRPr="00F93C61" w:rsidRDefault="00F93C61" w:rsidP="00F93C61">
            <w:pPr>
              <w:jc w:val="center"/>
              <w:rPr>
                <w:sz w:val="22"/>
                <w:szCs w:val="22"/>
                <w:u w:val="double"/>
              </w:rPr>
            </w:pPr>
            <w:r w:rsidRPr="00F93C61">
              <w:rPr>
                <w:sz w:val="22"/>
                <w:szCs w:val="22"/>
                <w:highlight w:val="yellow"/>
                <w:u w:val="double"/>
              </w:rPr>
              <w:t>Generac</w:t>
            </w:r>
          </w:p>
        </w:tc>
        <w:tc>
          <w:tcPr>
            <w:tcW w:w="990" w:type="dxa"/>
            <w:tcBorders>
              <w:top w:val="single" w:sz="6" w:space="0" w:color="auto"/>
              <w:left w:val="single" w:sz="6" w:space="0" w:color="auto"/>
              <w:bottom w:val="single" w:sz="12" w:space="0" w:color="auto"/>
              <w:right w:val="single" w:sz="12" w:space="0" w:color="auto"/>
            </w:tcBorders>
            <w:vAlign w:val="center"/>
          </w:tcPr>
          <w:p w:rsidR="00F93C61" w:rsidRPr="00F93C61" w:rsidRDefault="00F93C61" w:rsidP="00F93C61">
            <w:pPr>
              <w:jc w:val="center"/>
              <w:rPr>
                <w:sz w:val="22"/>
                <w:szCs w:val="22"/>
                <w:u w:val="double"/>
              </w:rPr>
            </w:pPr>
            <w:r w:rsidRPr="00F93C61">
              <w:rPr>
                <w:sz w:val="22"/>
                <w:szCs w:val="22"/>
                <w:highlight w:val="yellow"/>
                <w:u w:val="double"/>
              </w:rPr>
              <w:t>SG045</w:t>
            </w:r>
          </w:p>
        </w:tc>
      </w:tr>
    </w:tbl>
    <w:p w:rsidR="00F93C61" w:rsidRPr="00F93C61" w:rsidRDefault="00F93C61" w:rsidP="00F93C61">
      <w:pPr>
        <w:spacing w:before="120" w:after="120"/>
        <w:ind w:left="360"/>
        <w:rPr>
          <w:i/>
          <w:sz w:val="22"/>
          <w:szCs w:val="22"/>
        </w:rPr>
      </w:pPr>
      <w:r w:rsidRPr="00F93C61">
        <w:rPr>
          <w:i/>
          <w:color w:val="000000"/>
          <w:sz w:val="22"/>
          <w:szCs w:val="22"/>
        </w:rPr>
        <w:t xml:space="preserve">{Permitting Note:  These SI ICE are regulated under:  40 CFR 60, Subpart A, General Provisions, and 40 CFR 60, Subpart JJJJ, Standards of Performance for Stationary SI ICE, adopted by reference in Rule 62-204.800(8)(d) and (8)(b)83., F.A.C., respectively.  </w:t>
      </w:r>
      <w:r w:rsidRPr="00F93C61">
        <w:rPr>
          <w:i/>
          <w:strike/>
          <w:color w:val="000000"/>
          <w:sz w:val="22"/>
          <w:szCs w:val="22"/>
          <w:highlight w:val="yellow"/>
        </w:rPr>
        <w:t>This</w:t>
      </w:r>
      <w:r w:rsidRPr="00F93C61">
        <w:rPr>
          <w:i/>
          <w:color w:val="000000"/>
          <w:sz w:val="22"/>
          <w:szCs w:val="22"/>
        </w:rPr>
        <w:t xml:space="preserve"> </w:t>
      </w:r>
      <w:r w:rsidRPr="00F93C61">
        <w:rPr>
          <w:i/>
          <w:color w:val="000000"/>
          <w:sz w:val="22"/>
          <w:szCs w:val="22"/>
          <w:highlight w:val="yellow"/>
          <w:u w:val="double"/>
        </w:rPr>
        <w:t>These</w:t>
      </w:r>
      <w:r w:rsidRPr="00F93C61">
        <w:rPr>
          <w:i/>
          <w:color w:val="000000"/>
          <w:sz w:val="22"/>
          <w:szCs w:val="22"/>
        </w:rPr>
        <w:t xml:space="preserve"> </w:t>
      </w:r>
      <w:r w:rsidRPr="00F93C61">
        <w:rPr>
          <w:i/>
          <w:strike/>
          <w:sz w:val="22"/>
          <w:szCs w:val="22"/>
          <w:highlight w:val="yellow"/>
        </w:rPr>
        <w:t>spark ignition</w:t>
      </w:r>
      <w:r w:rsidRPr="00F93C61">
        <w:rPr>
          <w:i/>
          <w:sz w:val="22"/>
          <w:szCs w:val="22"/>
        </w:rPr>
        <w:t xml:space="preserve"> four-stroke </w:t>
      </w:r>
      <w:r w:rsidRPr="00F93C61">
        <w:rPr>
          <w:i/>
          <w:strike/>
          <w:sz w:val="22"/>
          <w:szCs w:val="22"/>
          <w:highlight w:val="yellow"/>
        </w:rPr>
        <w:t>internal combustion engine</w:t>
      </w:r>
      <w:r w:rsidRPr="00F93C61">
        <w:rPr>
          <w:i/>
          <w:strike/>
          <w:color w:val="000000"/>
          <w:sz w:val="22"/>
          <w:szCs w:val="22"/>
          <w:highlight w:val="yellow"/>
        </w:rPr>
        <w:t xml:space="preserve"> (</w:t>
      </w:r>
      <w:r w:rsidRPr="00F93C61">
        <w:rPr>
          <w:i/>
          <w:color w:val="000000"/>
          <w:sz w:val="22"/>
          <w:szCs w:val="22"/>
        </w:rPr>
        <w:t>SI ICE</w:t>
      </w:r>
      <w:r w:rsidRPr="00F93C61">
        <w:rPr>
          <w:i/>
          <w:strike/>
          <w:color w:val="000000"/>
          <w:sz w:val="22"/>
          <w:szCs w:val="22"/>
          <w:highlight w:val="yellow"/>
        </w:rPr>
        <w:t>)</w:t>
      </w:r>
      <w:r w:rsidRPr="00F93C61">
        <w:rPr>
          <w:i/>
          <w:color w:val="000000"/>
          <w:sz w:val="22"/>
          <w:szCs w:val="22"/>
        </w:rPr>
        <w:t xml:space="preserve"> </w:t>
      </w:r>
      <w:r w:rsidRPr="00F93C61">
        <w:rPr>
          <w:i/>
          <w:strike/>
          <w:color w:val="000000"/>
          <w:sz w:val="22"/>
          <w:szCs w:val="22"/>
          <w:highlight w:val="yellow"/>
        </w:rPr>
        <w:t>is</w:t>
      </w:r>
      <w:r w:rsidRPr="00F93C61">
        <w:rPr>
          <w:i/>
          <w:color w:val="000000"/>
          <w:sz w:val="22"/>
          <w:szCs w:val="22"/>
        </w:rPr>
        <w:t xml:space="preserve"> </w:t>
      </w:r>
      <w:r w:rsidRPr="00F93C61">
        <w:rPr>
          <w:i/>
          <w:color w:val="000000"/>
          <w:sz w:val="22"/>
          <w:szCs w:val="22"/>
          <w:highlight w:val="yellow"/>
          <w:u w:val="double"/>
        </w:rPr>
        <w:t>are</w:t>
      </w:r>
      <w:r w:rsidRPr="00F93C61">
        <w:rPr>
          <w:i/>
          <w:color w:val="000000"/>
          <w:sz w:val="22"/>
          <w:szCs w:val="22"/>
        </w:rPr>
        <w:t xml:space="preserve"> regulated under</w:t>
      </w:r>
      <w:r w:rsidRPr="00F93C61">
        <w:rPr>
          <w:i/>
          <w:color w:val="000000"/>
          <w:sz w:val="22"/>
          <w:szCs w:val="22"/>
          <w:highlight w:val="yellow"/>
          <w:u w:val="double"/>
        </w:rPr>
        <w:t>:</w:t>
      </w:r>
      <w:r w:rsidRPr="00F93C61">
        <w:rPr>
          <w:i/>
          <w:color w:val="000000"/>
          <w:sz w:val="22"/>
          <w:szCs w:val="22"/>
        </w:rPr>
        <w:t xml:space="preserve">  </w:t>
      </w:r>
      <w:r w:rsidRPr="00F93C61">
        <w:rPr>
          <w:i/>
          <w:sz w:val="22"/>
          <w:szCs w:val="22"/>
        </w:rPr>
        <w:t>40 CFR Part 60</w:t>
      </w:r>
      <w:r w:rsidRPr="00F93C61">
        <w:rPr>
          <w:i/>
          <w:sz w:val="22"/>
          <w:szCs w:val="22"/>
          <w:highlight w:val="yellow"/>
          <w:u w:val="double"/>
        </w:rPr>
        <w:t>, Subpart A, General Provisions, and , 40 CFR 60,</w:t>
      </w:r>
      <w:r w:rsidRPr="00F93C61">
        <w:rPr>
          <w:i/>
          <w:sz w:val="22"/>
          <w:szCs w:val="22"/>
        </w:rPr>
        <w:t xml:space="preserve"> Subpart JJJJ</w:t>
      </w:r>
      <w:r w:rsidRPr="00F93C61">
        <w:rPr>
          <w:i/>
          <w:sz w:val="22"/>
          <w:szCs w:val="22"/>
          <w:highlight w:val="yellow"/>
          <w:u w:val="double"/>
        </w:rPr>
        <w:t>,</w:t>
      </w:r>
      <w:r w:rsidRPr="00F93C61">
        <w:rPr>
          <w:i/>
          <w:sz w:val="22"/>
          <w:szCs w:val="22"/>
        </w:rPr>
        <w:t xml:space="preserve"> </w:t>
      </w:r>
      <w:r w:rsidRPr="00F93C61">
        <w:rPr>
          <w:i/>
          <w:strike/>
          <w:sz w:val="22"/>
          <w:szCs w:val="22"/>
          <w:highlight w:val="yellow"/>
        </w:rPr>
        <w:t>-</w:t>
      </w:r>
      <w:r w:rsidRPr="00F93C61">
        <w:rPr>
          <w:i/>
          <w:sz w:val="22"/>
          <w:szCs w:val="22"/>
        </w:rPr>
        <w:t xml:space="preserve"> Standards of Performance for Stationary Spark Ignition Internal Combustion Engines adopted by reference in </w:t>
      </w:r>
      <w:r w:rsidRPr="00F93C61">
        <w:rPr>
          <w:i/>
          <w:color w:val="000000"/>
          <w:sz w:val="22"/>
          <w:szCs w:val="22"/>
        </w:rPr>
        <w:t>Rule 62.204.800(8)</w:t>
      </w:r>
      <w:r w:rsidRPr="00F93C61">
        <w:rPr>
          <w:i/>
          <w:color w:val="000000"/>
          <w:sz w:val="22"/>
          <w:szCs w:val="22"/>
          <w:highlight w:val="yellow"/>
          <w:u w:val="double"/>
        </w:rPr>
        <w:t>(d) and (8)</w:t>
      </w:r>
      <w:r w:rsidRPr="00F93C61">
        <w:rPr>
          <w:i/>
          <w:color w:val="000000"/>
          <w:sz w:val="22"/>
          <w:szCs w:val="22"/>
        </w:rPr>
        <w:t>(b)</w:t>
      </w:r>
      <w:r w:rsidRPr="00F93C61">
        <w:rPr>
          <w:i/>
          <w:color w:val="000000"/>
          <w:sz w:val="22"/>
          <w:szCs w:val="22"/>
          <w:highlight w:val="yellow"/>
          <w:u w:val="double"/>
        </w:rPr>
        <w:t>83.</w:t>
      </w:r>
      <w:r w:rsidRPr="00F93C61">
        <w:rPr>
          <w:i/>
          <w:color w:val="000000"/>
          <w:sz w:val="22"/>
          <w:szCs w:val="22"/>
        </w:rPr>
        <w:t>, F.A.C</w:t>
      </w:r>
      <w:r w:rsidRPr="00F93C61">
        <w:rPr>
          <w:i/>
          <w:sz w:val="22"/>
          <w:szCs w:val="22"/>
        </w:rPr>
        <w:t>.</w:t>
      </w:r>
      <w:r w:rsidRPr="00F93C61">
        <w:rPr>
          <w:i/>
          <w:sz w:val="22"/>
          <w:szCs w:val="22"/>
          <w:highlight w:val="yellow"/>
          <w:u w:val="double"/>
        </w:rPr>
        <w:t>, respectively.</w:t>
      </w:r>
      <w:r w:rsidRPr="00F93C61">
        <w:rPr>
          <w:i/>
          <w:sz w:val="22"/>
          <w:szCs w:val="22"/>
        </w:rPr>
        <w:t xml:space="preserve"> </w:t>
      </w:r>
      <w:r w:rsidRPr="00F93C61">
        <w:rPr>
          <w:i/>
          <w:color w:val="000000"/>
          <w:sz w:val="22"/>
          <w:szCs w:val="22"/>
        </w:rPr>
        <w:t xml:space="preserve"> </w:t>
      </w:r>
      <w:r w:rsidRPr="00F93C61">
        <w:rPr>
          <w:i/>
          <w:sz w:val="22"/>
          <w:szCs w:val="22"/>
        </w:rPr>
        <w:t>Pursuant to Subpart JJJJ, this is</w:t>
      </w:r>
      <w:r w:rsidRPr="00F93C61">
        <w:rPr>
          <w:i/>
          <w:color w:val="000000"/>
          <w:sz w:val="22"/>
          <w:szCs w:val="22"/>
        </w:rPr>
        <w:t xml:space="preserve"> “new” emergency stationary engines, with an engine power greater than 19 kW (25 HP) and less than 75 kW (100 HP), with a displacement of less than 10 liters per cylinder, and that are located at a major source of HAPs.  Construction commenced (ordered) on these engines after January 1, 2009.  Pursuant to Subpart ZZZZ, these are two “new” </w:t>
      </w:r>
      <w:r w:rsidRPr="00F93C61">
        <w:rPr>
          <w:i/>
          <w:sz w:val="22"/>
          <w:szCs w:val="22"/>
        </w:rPr>
        <w:t>four-stroke</w:t>
      </w:r>
      <w:r w:rsidRPr="00F93C61">
        <w:rPr>
          <w:i/>
          <w:color w:val="000000"/>
          <w:sz w:val="22"/>
          <w:szCs w:val="22"/>
        </w:rPr>
        <w:t xml:space="preserve"> emergency stationary SI RICE engines with a site rating of less than 250 brake HP located at a major source of HAP </w:t>
      </w:r>
      <w:r w:rsidRPr="00F93C61">
        <w:rPr>
          <w:i/>
          <w:sz w:val="22"/>
          <w:szCs w:val="22"/>
        </w:rPr>
        <w:t xml:space="preserve">that commenced construction after December 19, 2002.  </w:t>
      </w:r>
      <w:r w:rsidRPr="00F93C61">
        <w:rPr>
          <w:i/>
          <w:color w:val="000000"/>
          <w:sz w:val="22"/>
          <w:szCs w:val="22"/>
        </w:rPr>
        <w:t>In accordance with 40 CFR 63.6590(c) (3), these engines meet the requirements of Subpart ZZZZ by meeting the requirements of 40 CFR 60 Subpart JJJJ.</w:t>
      </w:r>
      <w:r w:rsidRPr="00F93C61">
        <w:rPr>
          <w:i/>
          <w:color w:val="000000"/>
          <w:sz w:val="22"/>
          <w:szCs w:val="22"/>
          <w:highlight w:val="yellow"/>
          <w:u w:val="double"/>
        </w:rPr>
        <w:t>}</w:t>
      </w:r>
      <w:r w:rsidRPr="00F93C61">
        <w:rPr>
          <w:i/>
          <w:color w:val="000000"/>
          <w:sz w:val="22"/>
          <w:szCs w:val="22"/>
        </w:rPr>
        <w:t xml:space="preserve">  </w:t>
      </w:r>
    </w:p>
    <w:p w:rsidR="00F93C61" w:rsidRPr="00F93C61" w:rsidRDefault="00F93C61" w:rsidP="00F93C61">
      <w:pPr>
        <w:tabs>
          <w:tab w:val="left" w:pos="360"/>
          <w:tab w:val="left" w:pos="720"/>
          <w:tab w:val="left" w:pos="1080"/>
          <w:tab w:val="left" w:pos="1440"/>
        </w:tabs>
        <w:spacing w:before="120" w:after="120"/>
        <w:ind w:left="360"/>
        <w:rPr>
          <w:i/>
          <w:sz w:val="22"/>
          <w:u w:val="double"/>
        </w:rPr>
      </w:pPr>
      <w:r w:rsidRPr="00F93C61">
        <w:rPr>
          <w:i/>
          <w:sz w:val="22"/>
          <w:highlight w:val="yellow"/>
          <w:u w:val="double"/>
        </w:rPr>
        <w:t>{Permitting Note:  EU No. 027 will be constructed along with the data center that it services near the end of the 2018 calendar year.}</w:t>
      </w:r>
    </w:p>
    <w:p w:rsidR="00F93C61" w:rsidRDefault="00F93C61" w:rsidP="00F93C61">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EU Nos. 024 and 027 are SI ICE that fire different fuels.  To reflect this, Specific Condition </w:t>
      </w:r>
      <w:r>
        <w:rPr>
          <w:b/>
          <w:color w:val="000000"/>
          <w:sz w:val="22"/>
          <w:szCs w:val="22"/>
        </w:rPr>
        <w:t>I.1</w:t>
      </w:r>
      <w:r>
        <w:rPr>
          <w:color w:val="000000"/>
          <w:sz w:val="22"/>
          <w:szCs w:val="22"/>
        </w:rPr>
        <w:t xml:space="preserve"> has been revised as follows:</w:t>
      </w:r>
    </w:p>
    <w:p w:rsidR="00E27EDC" w:rsidRPr="00D94C67" w:rsidRDefault="00E27EDC" w:rsidP="00956930">
      <w:pPr>
        <w:numPr>
          <w:ilvl w:val="0"/>
          <w:numId w:val="102"/>
        </w:numPr>
        <w:ind w:left="720" w:hanging="360"/>
        <w:rPr>
          <w:sz w:val="22"/>
          <w:szCs w:val="22"/>
        </w:rPr>
      </w:pPr>
      <w:r w:rsidRPr="00D94C67">
        <w:rPr>
          <w:sz w:val="22"/>
          <w:szCs w:val="22"/>
          <w:u w:val="single"/>
        </w:rPr>
        <w:t>Authorized Fuel</w:t>
      </w:r>
      <w:r w:rsidRPr="00D94C67">
        <w:rPr>
          <w:sz w:val="22"/>
          <w:szCs w:val="22"/>
        </w:rPr>
        <w:t xml:space="preserve">.  </w:t>
      </w:r>
    </w:p>
    <w:p w:rsidR="00E27EDC" w:rsidRPr="00D94C67" w:rsidRDefault="00E27EDC" w:rsidP="00956930">
      <w:pPr>
        <w:numPr>
          <w:ilvl w:val="0"/>
          <w:numId w:val="103"/>
        </w:numPr>
        <w:spacing w:after="120"/>
        <w:contextualSpacing/>
        <w:rPr>
          <w:sz w:val="22"/>
          <w:szCs w:val="22"/>
        </w:rPr>
      </w:pPr>
      <w:r w:rsidRPr="00D94C67">
        <w:rPr>
          <w:i/>
          <w:sz w:val="22"/>
          <w:szCs w:val="22"/>
          <w:highlight w:val="yellow"/>
          <w:u w:val="double"/>
        </w:rPr>
        <w:t>EU No. 024.</w:t>
      </w:r>
      <w:r w:rsidRPr="00D94C67">
        <w:rPr>
          <w:sz w:val="22"/>
          <w:szCs w:val="22"/>
        </w:rPr>
        <w:t xml:space="preserve">  </w:t>
      </w:r>
      <w:r w:rsidR="00D94C67" w:rsidRPr="00D94C67">
        <w:rPr>
          <w:strike/>
          <w:sz w:val="22"/>
          <w:szCs w:val="22"/>
          <w:highlight w:val="yellow"/>
        </w:rPr>
        <w:t xml:space="preserve">These Stationary Spark Ignition Internal Combustion </w:t>
      </w:r>
      <w:r w:rsidR="00D94C67" w:rsidRPr="00D94C67">
        <w:rPr>
          <w:bCs/>
          <w:strike/>
          <w:sz w:val="22"/>
          <w:szCs w:val="22"/>
          <w:highlight w:val="yellow"/>
        </w:rPr>
        <w:t>Engines (SI</w:t>
      </w:r>
      <w:r w:rsidR="00D94C67" w:rsidRPr="00D94C67">
        <w:rPr>
          <w:b/>
          <w:bCs/>
          <w:strike/>
          <w:sz w:val="22"/>
          <w:szCs w:val="22"/>
          <w:highlight w:val="yellow"/>
        </w:rPr>
        <w:t>-</w:t>
      </w:r>
      <w:r w:rsidR="00D94C67" w:rsidRPr="00D94C67">
        <w:rPr>
          <w:strike/>
          <w:sz w:val="22"/>
          <w:szCs w:val="22"/>
          <w:highlight w:val="yellow"/>
        </w:rPr>
        <w:t>ICE) are</w:t>
      </w:r>
      <w:r w:rsidR="00D94C67" w:rsidRPr="00D94C67">
        <w:rPr>
          <w:sz w:val="22"/>
          <w:szCs w:val="22"/>
        </w:rPr>
        <w:t xml:space="preserve"> </w:t>
      </w:r>
      <w:r w:rsidRPr="00D94C67">
        <w:rPr>
          <w:sz w:val="22"/>
          <w:szCs w:val="22"/>
          <w:highlight w:val="yellow"/>
          <w:u w:val="double"/>
        </w:rPr>
        <w:t>EU No. 024 is</w:t>
      </w:r>
      <w:r w:rsidRPr="00D94C67">
        <w:rPr>
          <w:sz w:val="22"/>
          <w:szCs w:val="22"/>
        </w:rPr>
        <w:t xml:space="preserve"> </w:t>
      </w:r>
      <w:r w:rsidR="00D94C67" w:rsidRPr="00D94C67">
        <w:rPr>
          <w:sz w:val="22"/>
          <w:szCs w:val="22"/>
        </w:rPr>
        <w:t xml:space="preserve">fueled by Natural Gas.  </w:t>
      </w:r>
      <w:r w:rsidR="00D94C67" w:rsidRPr="00D94C67">
        <w:rPr>
          <w:sz w:val="22"/>
        </w:rPr>
        <w:t xml:space="preserve">This engine may be fired using propane for a maximum of 100 hours per year as an alternative fuel solely during emergency operations, but must keep records of such use.  If propane is used for more than 100 hours per year in an engine that is not certified to the emission standards when using propane, you are required to conduct a performance test to demonstrate compliance with the emission standards of Specific Conditions </w:t>
      </w:r>
      <w:r>
        <w:rPr>
          <w:b/>
          <w:sz w:val="22"/>
        </w:rPr>
        <w:t>I.3</w:t>
      </w:r>
      <w:r w:rsidRPr="00D94C67">
        <w:rPr>
          <w:sz w:val="22"/>
        </w:rPr>
        <w:fldChar w:fldCharType="begin"/>
      </w:r>
      <w:r w:rsidRPr="00D94C67">
        <w:rPr>
          <w:sz w:val="22"/>
        </w:rPr>
        <w:instrText xml:space="preserve"> REF _Ref520795232 \r \h  \* MERGEFORMAT </w:instrText>
      </w:r>
      <w:r w:rsidRPr="00D94C67">
        <w:rPr>
          <w:sz w:val="22"/>
        </w:rPr>
      </w:r>
      <w:r w:rsidRPr="00D94C67">
        <w:rPr>
          <w:sz w:val="22"/>
        </w:rPr>
        <w:fldChar w:fldCharType="end"/>
      </w:r>
      <w:r w:rsidRPr="00D94C67">
        <w:rPr>
          <w:sz w:val="22"/>
        </w:rPr>
        <w:t xml:space="preserve"> </w:t>
      </w:r>
      <w:r w:rsidR="00D94C67" w:rsidRPr="00D94C67">
        <w:rPr>
          <w:sz w:val="22"/>
        </w:rPr>
        <w:t xml:space="preserve">and </w:t>
      </w:r>
      <w:r>
        <w:rPr>
          <w:b/>
          <w:sz w:val="22"/>
        </w:rPr>
        <w:t>I.4</w:t>
      </w:r>
      <w:r w:rsidRPr="00D94C67">
        <w:rPr>
          <w:sz w:val="22"/>
        </w:rPr>
        <w:t>.</w:t>
      </w:r>
      <w:r w:rsidR="00D94C67" w:rsidRPr="00D94C67">
        <w:rPr>
          <w:sz w:val="22"/>
          <w:szCs w:val="22"/>
        </w:rPr>
        <w:t xml:space="preserve">  [40 CFR 60.4243(e) and Application No. 0850001-33-AV]</w:t>
      </w:r>
    </w:p>
    <w:p w:rsidR="00E27EDC" w:rsidRPr="00D94C67" w:rsidRDefault="00E27EDC" w:rsidP="00956930">
      <w:pPr>
        <w:numPr>
          <w:ilvl w:val="0"/>
          <w:numId w:val="103"/>
        </w:numPr>
        <w:spacing w:after="120"/>
        <w:rPr>
          <w:sz w:val="22"/>
          <w:szCs w:val="22"/>
          <w:highlight w:val="yellow"/>
          <w:u w:val="double"/>
        </w:rPr>
      </w:pPr>
      <w:r w:rsidRPr="00D94C67">
        <w:rPr>
          <w:i/>
          <w:sz w:val="22"/>
          <w:szCs w:val="22"/>
          <w:highlight w:val="yellow"/>
          <w:u w:val="double"/>
        </w:rPr>
        <w:t>EU No. 027.</w:t>
      </w:r>
      <w:r w:rsidRPr="00D94C67">
        <w:rPr>
          <w:sz w:val="22"/>
          <w:szCs w:val="22"/>
          <w:highlight w:val="yellow"/>
          <w:u w:val="double"/>
        </w:rPr>
        <w:t xml:space="preserve">  EU No. 027 is fueled by propane.  [Application No. 0850001-042-AV]</w:t>
      </w:r>
    </w:p>
    <w:p w:rsidR="00E27EDC" w:rsidRDefault="001628A8" w:rsidP="00F93C61">
      <w:pPr>
        <w:pStyle w:val="ListParagraph"/>
        <w:numPr>
          <w:ilvl w:val="0"/>
          <w:numId w:val="1"/>
        </w:numPr>
        <w:tabs>
          <w:tab w:val="left" w:pos="360"/>
        </w:tabs>
        <w:spacing w:after="120"/>
        <w:contextualSpacing w:val="0"/>
        <w:rPr>
          <w:color w:val="000000"/>
          <w:sz w:val="22"/>
          <w:szCs w:val="22"/>
        </w:rPr>
      </w:pPr>
      <w:r>
        <w:rPr>
          <w:color w:val="000000"/>
          <w:sz w:val="22"/>
          <w:szCs w:val="22"/>
        </w:rPr>
        <w:t xml:space="preserve">On May 1, 2015, the EPA vacated 40 CFR 60.4243(d)(2)(ii)-(iii).  To reflect the vacation of these paragraphs, Specific Condition </w:t>
      </w:r>
      <w:r>
        <w:rPr>
          <w:b/>
          <w:color w:val="000000"/>
          <w:sz w:val="22"/>
          <w:szCs w:val="22"/>
        </w:rPr>
        <w:t>I.2</w:t>
      </w:r>
      <w:r>
        <w:rPr>
          <w:color w:val="000000"/>
          <w:sz w:val="22"/>
          <w:szCs w:val="22"/>
        </w:rPr>
        <w:t xml:space="preserve"> has been revised as follows:</w:t>
      </w:r>
    </w:p>
    <w:p w:rsidR="00D94C67" w:rsidRPr="00D94C67" w:rsidRDefault="00D94C67" w:rsidP="00956930">
      <w:pPr>
        <w:numPr>
          <w:ilvl w:val="0"/>
          <w:numId w:val="102"/>
        </w:numPr>
        <w:ind w:left="720" w:hanging="360"/>
        <w:rPr>
          <w:sz w:val="22"/>
          <w:szCs w:val="22"/>
          <w:u w:val="single"/>
        </w:rPr>
      </w:pPr>
      <w:r w:rsidRPr="00D94C67">
        <w:rPr>
          <w:sz w:val="22"/>
          <w:szCs w:val="22"/>
          <w:u w:val="single"/>
        </w:rPr>
        <w:t>Restricted Hours of Operation</w:t>
      </w:r>
      <w:r w:rsidRPr="00D94C67">
        <w:rPr>
          <w:sz w:val="22"/>
          <w:szCs w:val="22"/>
        </w:rPr>
        <w:t>.  You must operate these emergency engines according to the requirements in paragraphs a. through d.  In order for these engines to be considered emergency stationary ICE under Subpart JJJJ, any operation other than emergency operation, maintenance and testing, emergency demand response, and operation in non-emergency situations for 50 hours per year, as described in the paragraphs below, is prohibited.  If you do not operate these engines according to the requirements in paragraphs a. through d. below, these engines will not be considered emergency engines and must meet all requirements for non-emergency engines pursuant to 40 CFR 60, Subpart JJJJ.  [40 CFR 60.4243(d)]</w:t>
      </w:r>
    </w:p>
    <w:p w:rsidR="00D94C67" w:rsidRPr="00D94C67" w:rsidRDefault="00D94C67" w:rsidP="00956930">
      <w:pPr>
        <w:numPr>
          <w:ilvl w:val="0"/>
          <w:numId w:val="104"/>
        </w:numPr>
        <w:tabs>
          <w:tab w:val="left" w:pos="900"/>
        </w:tabs>
        <w:ind w:left="1080"/>
        <w:rPr>
          <w:sz w:val="22"/>
          <w:szCs w:val="22"/>
        </w:rPr>
      </w:pPr>
      <w:r w:rsidRPr="00D94C67">
        <w:rPr>
          <w:i/>
          <w:sz w:val="22"/>
          <w:szCs w:val="22"/>
        </w:rPr>
        <w:t>Emergency Situations</w:t>
      </w:r>
      <w:r w:rsidRPr="00D94C67">
        <w:rPr>
          <w:sz w:val="22"/>
          <w:szCs w:val="22"/>
        </w:rPr>
        <w:t xml:space="preserve">.  There is no time limit on the use of these engines in emergency situations.  [40 CFR 60.4243(d)(1)]  </w:t>
      </w:r>
    </w:p>
    <w:p w:rsidR="00D94C67" w:rsidRPr="00D94C67" w:rsidRDefault="00D94C67" w:rsidP="00956930">
      <w:pPr>
        <w:numPr>
          <w:ilvl w:val="0"/>
          <w:numId w:val="104"/>
        </w:numPr>
        <w:tabs>
          <w:tab w:val="left" w:pos="360"/>
          <w:tab w:val="left" w:pos="720"/>
          <w:tab w:val="left" w:pos="900"/>
        </w:tabs>
        <w:ind w:left="1080"/>
        <w:rPr>
          <w:sz w:val="22"/>
          <w:szCs w:val="22"/>
        </w:rPr>
      </w:pPr>
      <w:bookmarkStart w:id="72" w:name="_Ref520796412"/>
      <w:r w:rsidRPr="00D94C67">
        <w:rPr>
          <w:i/>
          <w:sz w:val="22"/>
          <w:szCs w:val="22"/>
        </w:rPr>
        <w:t>Non-Emergency Situations</w:t>
      </w:r>
      <w:r w:rsidRPr="00D94C67">
        <w:rPr>
          <w:sz w:val="22"/>
          <w:szCs w:val="22"/>
        </w:rPr>
        <w:t>.  You may operate these engines for any combination of the purposes specified in paragraphs (1) through (3) for a maximum of 100 hours per calendar year.  Any operation for non-emergency situations as allowed by paragraphs c. and d. below counts as part of the 100 hours per calendar year allowed.  [40 CFR 60.4243(d)(2)]</w:t>
      </w:r>
      <w:bookmarkEnd w:id="72"/>
      <w:r w:rsidRPr="00D94C67">
        <w:rPr>
          <w:sz w:val="22"/>
          <w:szCs w:val="22"/>
        </w:rPr>
        <w:t xml:space="preserve">  </w:t>
      </w:r>
    </w:p>
    <w:p w:rsidR="00D94C67" w:rsidRPr="00D94C67" w:rsidRDefault="00D94C67" w:rsidP="00956930">
      <w:pPr>
        <w:numPr>
          <w:ilvl w:val="0"/>
          <w:numId w:val="105"/>
        </w:numPr>
        <w:ind w:left="1440"/>
        <w:rPr>
          <w:sz w:val="22"/>
          <w:szCs w:val="22"/>
        </w:rPr>
      </w:pPr>
      <w:r w:rsidRPr="00D94C67">
        <w:rPr>
          <w:i/>
          <w:sz w:val="22"/>
          <w:szCs w:val="22"/>
        </w:rPr>
        <w:t>Maintenance and Testing</w:t>
      </w:r>
      <w:r w:rsidRPr="00D94C67">
        <w:rPr>
          <w:sz w:val="22"/>
          <w:szCs w:val="22"/>
        </w:rPr>
        <w:t xml:space="preserve">.  Each engine is authorized to operate </w:t>
      </w:r>
      <w:r w:rsidRPr="00D94C67">
        <w:rPr>
          <w:sz w:val="22"/>
          <w:szCs w:val="22"/>
          <w:highlight w:val="yellow"/>
          <w:u w:val="double"/>
        </w:rPr>
        <w:t>for a maximum of 100 hours per calendar year</w:t>
      </w:r>
      <w:r w:rsidRPr="00D94C67">
        <w:rPr>
          <w:sz w:val="22"/>
          <w:szCs w:val="22"/>
        </w:rPr>
        <w:t xml:space="preserve"> for the purpose of maintenance checks and readiness testing, provided that the tests are recommended by federal, state or local government, the manufacturer, the vendor,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[40 CFR 60.4243(d)(2)(i)]</w:t>
      </w:r>
    </w:p>
    <w:p w:rsidR="00D94C67" w:rsidRPr="00D94C67" w:rsidRDefault="00D94C67" w:rsidP="00956930">
      <w:pPr>
        <w:numPr>
          <w:ilvl w:val="0"/>
          <w:numId w:val="105"/>
        </w:numPr>
        <w:ind w:left="1440"/>
        <w:rPr>
          <w:strike/>
          <w:sz w:val="22"/>
          <w:szCs w:val="22"/>
          <w:highlight w:val="yellow"/>
        </w:rPr>
      </w:pPr>
      <w:r w:rsidRPr="00D94C67">
        <w:rPr>
          <w:i/>
          <w:strike/>
          <w:sz w:val="22"/>
          <w:szCs w:val="22"/>
          <w:highlight w:val="yellow"/>
        </w:rPr>
        <w:t>Emergency Demand Response</w:t>
      </w:r>
      <w:r w:rsidRPr="00D94C67">
        <w:rPr>
          <w:strike/>
          <w:sz w:val="22"/>
          <w:szCs w:val="22"/>
          <w:highlight w:val="yellow"/>
        </w:rPr>
        <w:t>.  Each engine may be operated for emergency demand response for periods in which the Reliability Coordinator under the North American Electric Reliability Corporation (NERC) Reliability Standard EOP-002-3, Capacity and Energy Emergencies (incorporated by reference, see 40 CFR 60.17), or other authorized entity as determined by the Reliability Coordinator, has declared an Energy Emergency Alert Level 2 as defined in the NERC Reliability Standard EOP-002-3.  [40 CFR 60.4243(d)(2)(ii)]</w:t>
      </w:r>
    </w:p>
    <w:p w:rsidR="00D94C67" w:rsidRPr="00D94C67" w:rsidRDefault="00D94C67" w:rsidP="00956930">
      <w:pPr>
        <w:numPr>
          <w:ilvl w:val="0"/>
          <w:numId w:val="105"/>
        </w:numPr>
        <w:tabs>
          <w:tab w:val="left" w:pos="900"/>
        </w:tabs>
        <w:rPr>
          <w:strike/>
          <w:sz w:val="22"/>
          <w:szCs w:val="22"/>
          <w:highlight w:val="yellow"/>
        </w:rPr>
      </w:pPr>
      <w:r w:rsidRPr="00D94C67">
        <w:rPr>
          <w:i/>
          <w:strike/>
          <w:sz w:val="22"/>
          <w:szCs w:val="22"/>
          <w:highlight w:val="yellow"/>
        </w:rPr>
        <w:t>Voltage or Frequency Deviations</w:t>
      </w:r>
      <w:r w:rsidRPr="00D94C67">
        <w:rPr>
          <w:strike/>
          <w:sz w:val="22"/>
          <w:szCs w:val="22"/>
          <w:highlight w:val="yellow"/>
        </w:rPr>
        <w:t>.  Each engine may be operated for periods where there is a deviation of voltage or frequency of 5 percent or greater below standard voltage or frequency.  [40 CFR 63. 60.4243(d)(2)(iii)]</w:t>
      </w:r>
    </w:p>
    <w:p w:rsidR="00D94C67" w:rsidRPr="00D94C67" w:rsidRDefault="00D94C67" w:rsidP="00956930">
      <w:pPr>
        <w:numPr>
          <w:ilvl w:val="0"/>
          <w:numId w:val="104"/>
        </w:numPr>
        <w:tabs>
          <w:tab w:val="left" w:pos="360"/>
          <w:tab w:val="left" w:pos="720"/>
          <w:tab w:val="left" w:pos="900"/>
        </w:tabs>
        <w:ind w:left="1080"/>
        <w:rPr>
          <w:sz w:val="22"/>
          <w:szCs w:val="22"/>
        </w:rPr>
      </w:pPr>
      <w:r w:rsidRPr="00D94C67">
        <w:rPr>
          <w:i/>
          <w:sz w:val="22"/>
          <w:szCs w:val="22"/>
        </w:rPr>
        <w:t>Other Non-emergency Situations</w:t>
      </w:r>
      <w:r w:rsidRPr="00D94C67">
        <w:rPr>
          <w:sz w:val="22"/>
          <w:szCs w:val="22"/>
        </w:rPr>
        <w:t xml:space="preserve">.  These engines may be operated for up to 50 hours per calendar year in nonemergency situations.  The 50 hours of operation in non-emergency situations are counted as part of the 100 hours per calendar year for maintenance and testing </w:t>
      </w:r>
      <w:r w:rsidRPr="00D94C67">
        <w:rPr>
          <w:strike/>
          <w:sz w:val="22"/>
          <w:szCs w:val="22"/>
          <w:highlight w:val="yellow"/>
        </w:rPr>
        <w:t>and emergency demand response</w:t>
      </w:r>
      <w:r w:rsidRPr="00D94C67">
        <w:rPr>
          <w:sz w:val="22"/>
          <w:szCs w:val="22"/>
        </w:rPr>
        <w:t xml:space="preserve"> provided in paragraph </w:t>
      </w:r>
      <w:r>
        <w:rPr>
          <w:b/>
          <w:sz w:val="22"/>
          <w:szCs w:val="22"/>
        </w:rPr>
        <w:t>b</w:t>
      </w:r>
      <w:r w:rsidRPr="00D94C67">
        <w:rPr>
          <w:sz w:val="22"/>
          <w:szCs w:val="22"/>
        </w:rPr>
        <w:t xml:space="preserve"> above.  Except as provided in paragraph d. below, the 50 hours per year for non-emergency situations cannot be used for peak shaving or non-emergency demand response, or to generate income for a facility to supply power to an electric grid or otherwise supply power as part of a financial arrangement with another entity.  [40 CFR 60.4243(d)(3)]</w:t>
      </w:r>
    </w:p>
    <w:p w:rsidR="00D94C67" w:rsidRPr="00D94C67" w:rsidRDefault="00D94C67" w:rsidP="00956930">
      <w:pPr>
        <w:numPr>
          <w:ilvl w:val="0"/>
          <w:numId w:val="104"/>
        </w:numPr>
        <w:tabs>
          <w:tab w:val="left" w:pos="360"/>
          <w:tab w:val="left" w:pos="720"/>
          <w:tab w:val="left" w:pos="900"/>
        </w:tabs>
        <w:ind w:left="1080"/>
        <w:rPr>
          <w:sz w:val="22"/>
          <w:szCs w:val="22"/>
        </w:rPr>
      </w:pPr>
      <w:r w:rsidRPr="00D94C67">
        <w:rPr>
          <w:i/>
          <w:sz w:val="22"/>
          <w:szCs w:val="22"/>
        </w:rPr>
        <w:t>Limited Non-emergency 50 hours Operation</w:t>
      </w:r>
      <w:r w:rsidRPr="00D94C67">
        <w:rPr>
          <w:sz w:val="22"/>
          <w:szCs w:val="22"/>
        </w:rPr>
        <w:t xml:space="preserve">.  The 50 hours per year for non-emergency situations can be used to supply power as part of a financial arrangement with another entity </w:t>
      </w:r>
      <w:r w:rsidRPr="00D94C67">
        <w:rPr>
          <w:sz w:val="22"/>
          <w:szCs w:val="22"/>
          <w:u w:val="single"/>
        </w:rPr>
        <w:t>if all</w:t>
      </w:r>
      <w:r w:rsidRPr="00D94C67">
        <w:rPr>
          <w:sz w:val="22"/>
          <w:szCs w:val="22"/>
        </w:rPr>
        <w:t xml:space="preserve"> of the following conditions are met:</w:t>
      </w:r>
    </w:p>
    <w:p w:rsidR="00D94C67" w:rsidRPr="00D94C67" w:rsidRDefault="00D94C67" w:rsidP="00D94C67">
      <w:pPr>
        <w:ind w:left="1440" w:hanging="360"/>
        <w:rPr>
          <w:sz w:val="22"/>
          <w:szCs w:val="22"/>
        </w:rPr>
      </w:pPr>
      <w:r w:rsidRPr="00D94C67">
        <w:rPr>
          <w:sz w:val="22"/>
          <w:szCs w:val="22"/>
        </w:rPr>
        <w:t>(1)</w:t>
      </w:r>
      <w:r w:rsidRPr="00D94C67">
        <w:rPr>
          <w:sz w:val="22"/>
          <w:szCs w:val="22"/>
        </w:rPr>
        <w:tab/>
        <w:t>The engine is dispatched by the local balancing authority or local transmission and distribution system operator.</w:t>
      </w:r>
    </w:p>
    <w:p w:rsidR="00D94C67" w:rsidRPr="00D94C67" w:rsidRDefault="00D94C67" w:rsidP="00D94C67">
      <w:pPr>
        <w:tabs>
          <w:tab w:val="left" w:pos="900"/>
          <w:tab w:val="left" w:pos="1800"/>
        </w:tabs>
        <w:ind w:left="1440" w:hanging="360"/>
        <w:rPr>
          <w:sz w:val="22"/>
          <w:szCs w:val="22"/>
        </w:rPr>
      </w:pPr>
      <w:r w:rsidRPr="00D94C67">
        <w:rPr>
          <w:sz w:val="22"/>
          <w:szCs w:val="22"/>
        </w:rPr>
        <w:t>(2)</w:t>
      </w:r>
      <w:r w:rsidRPr="00D94C67">
        <w:rPr>
          <w:sz w:val="22"/>
          <w:szCs w:val="22"/>
        </w:rPr>
        <w:tab/>
        <w:t>The dispatch is intended to mitigate local transmission and/or distribution limitations so as to avert potential voltage collapse or line overloads that could lead to the interruption of power supply in a local area or region.</w:t>
      </w:r>
    </w:p>
    <w:p w:rsidR="00D94C67" w:rsidRPr="00D94C67" w:rsidRDefault="00D94C67" w:rsidP="00D94C67">
      <w:pPr>
        <w:tabs>
          <w:tab w:val="left" w:pos="900"/>
          <w:tab w:val="left" w:pos="1800"/>
        </w:tabs>
        <w:ind w:left="1440" w:hanging="360"/>
        <w:rPr>
          <w:sz w:val="22"/>
          <w:szCs w:val="22"/>
        </w:rPr>
      </w:pPr>
      <w:r w:rsidRPr="00D94C67">
        <w:rPr>
          <w:sz w:val="22"/>
          <w:szCs w:val="22"/>
        </w:rPr>
        <w:t>(3)</w:t>
      </w:r>
      <w:r w:rsidRPr="00D94C67">
        <w:rPr>
          <w:sz w:val="22"/>
          <w:szCs w:val="22"/>
        </w:rPr>
        <w:tab/>
        <w:t>The dispatch follows reliability, emergency operation or similar protocols that follow specific NERC, regional, state, public utility commission or local standards or guidelines.</w:t>
      </w:r>
    </w:p>
    <w:p w:rsidR="00D94C67" w:rsidRPr="00D94C67" w:rsidRDefault="00D94C67" w:rsidP="00D94C67">
      <w:pPr>
        <w:tabs>
          <w:tab w:val="left" w:pos="900"/>
          <w:tab w:val="left" w:pos="1800"/>
        </w:tabs>
        <w:ind w:left="1440" w:hanging="360"/>
        <w:rPr>
          <w:sz w:val="22"/>
          <w:szCs w:val="22"/>
        </w:rPr>
      </w:pPr>
      <w:r w:rsidRPr="00D94C67">
        <w:rPr>
          <w:sz w:val="22"/>
          <w:szCs w:val="22"/>
        </w:rPr>
        <w:t>(4)</w:t>
      </w:r>
      <w:r w:rsidRPr="00D94C67">
        <w:rPr>
          <w:sz w:val="22"/>
          <w:szCs w:val="22"/>
        </w:rPr>
        <w:tab/>
        <w:t>The power is provided only to the facility itself or to support the local transmission and distribution system.</w:t>
      </w:r>
    </w:p>
    <w:p w:rsidR="00D94C67" w:rsidRPr="00D94C67" w:rsidRDefault="00D94C67" w:rsidP="00D94C67">
      <w:pPr>
        <w:tabs>
          <w:tab w:val="left" w:pos="900"/>
          <w:tab w:val="left" w:pos="1800"/>
        </w:tabs>
        <w:ind w:left="1440" w:hanging="360"/>
        <w:rPr>
          <w:sz w:val="22"/>
          <w:szCs w:val="22"/>
        </w:rPr>
      </w:pPr>
      <w:r w:rsidRPr="00D94C67">
        <w:rPr>
          <w:sz w:val="22"/>
          <w:szCs w:val="22"/>
        </w:rPr>
        <w:t>(5)</w:t>
      </w:r>
      <w:r w:rsidRPr="00D94C67">
        <w:rPr>
          <w:sz w:val="22"/>
          <w:szCs w:val="22"/>
        </w:rPr>
        <w:tab/>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D94C67" w:rsidRDefault="00D94C67" w:rsidP="001628A8">
      <w:pPr>
        <w:tabs>
          <w:tab w:val="left" w:pos="900"/>
        </w:tabs>
        <w:spacing w:after="120"/>
        <w:ind w:left="720"/>
        <w:rPr>
          <w:sz w:val="22"/>
          <w:szCs w:val="22"/>
        </w:rPr>
      </w:pPr>
      <w:r w:rsidRPr="00D94C67">
        <w:rPr>
          <w:sz w:val="22"/>
          <w:szCs w:val="22"/>
        </w:rPr>
        <w:t>[40 CFR 60.4243(d)(3)(i)]</w:t>
      </w:r>
    </w:p>
    <w:p w:rsidR="001628A8" w:rsidRDefault="001628A8" w:rsidP="001628A8">
      <w:pPr>
        <w:tabs>
          <w:tab w:val="left" w:pos="900"/>
        </w:tabs>
        <w:spacing w:after="120"/>
        <w:rPr>
          <w:sz w:val="22"/>
          <w:szCs w:val="22"/>
        </w:rPr>
      </w:pPr>
      <w:r>
        <w:rPr>
          <w:b/>
          <w:sz w:val="22"/>
          <w:szCs w:val="22"/>
          <w:u w:val="single"/>
        </w:rPr>
        <w:t>Section IV. Changes</w:t>
      </w:r>
    </w:p>
    <w:p w:rsidR="001628A8" w:rsidRDefault="001628A8" w:rsidP="001628A8">
      <w:pPr>
        <w:pStyle w:val="ListParagraph"/>
        <w:numPr>
          <w:ilvl w:val="0"/>
          <w:numId w:val="1"/>
        </w:numPr>
        <w:tabs>
          <w:tab w:val="left" w:pos="360"/>
        </w:tabs>
        <w:spacing w:after="120"/>
        <w:contextualSpacing w:val="0"/>
        <w:rPr>
          <w:sz w:val="22"/>
          <w:szCs w:val="22"/>
        </w:rPr>
      </w:pPr>
      <w:r>
        <w:rPr>
          <w:sz w:val="22"/>
          <w:szCs w:val="22"/>
        </w:rPr>
        <w:t>The Acid Rain section has been updated with the application submitted with this renewal.</w:t>
      </w:r>
    </w:p>
    <w:p w:rsidR="00AC445D" w:rsidRDefault="00AC445D" w:rsidP="00AC445D">
      <w:pPr>
        <w:tabs>
          <w:tab w:val="left" w:pos="360"/>
        </w:tabs>
        <w:spacing w:after="120"/>
        <w:rPr>
          <w:b/>
          <w:sz w:val="22"/>
          <w:szCs w:val="22"/>
          <w:u w:val="single"/>
        </w:rPr>
      </w:pPr>
      <w:r>
        <w:rPr>
          <w:b/>
          <w:sz w:val="22"/>
          <w:szCs w:val="22"/>
          <w:u w:val="single"/>
        </w:rPr>
        <w:t>Section V. Changes</w:t>
      </w:r>
    </w:p>
    <w:p w:rsidR="00AC445D" w:rsidRDefault="00AC445D" w:rsidP="00AC445D">
      <w:pPr>
        <w:pStyle w:val="ListParagraph"/>
        <w:numPr>
          <w:ilvl w:val="0"/>
          <w:numId w:val="1"/>
        </w:numPr>
        <w:tabs>
          <w:tab w:val="left" w:pos="360"/>
        </w:tabs>
        <w:spacing w:after="120"/>
        <w:contextualSpacing w:val="0"/>
        <w:rPr>
          <w:sz w:val="22"/>
          <w:szCs w:val="22"/>
        </w:rPr>
      </w:pPr>
      <w:r>
        <w:rPr>
          <w:sz w:val="22"/>
          <w:szCs w:val="22"/>
        </w:rPr>
        <w:t>Section V. has been deleted to reflect Title V air operation permit format standards.  The appendices are a separate attachment as stated in the Table of Contents.</w:t>
      </w:r>
    </w:p>
    <w:p w:rsidR="00673418" w:rsidRDefault="00673418" w:rsidP="00673418">
      <w:pPr>
        <w:pStyle w:val="ListParagraph"/>
        <w:tabs>
          <w:tab w:val="left" w:pos="360"/>
        </w:tabs>
        <w:spacing w:after="120"/>
        <w:ind w:left="0"/>
        <w:contextualSpacing w:val="0"/>
        <w:rPr>
          <w:b/>
          <w:sz w:val="22"/>
          <w:szCs w:val="22"/>
          <w:u w:val="single"/>
        </w:rPr>
      </w:pPr>
      <w:r>
        <w:rPr>
          <w:b/>
          <w:sz w:val="22"/>
          <w:szCs w:val="22"/>
          <w:u w:val="single"/>
        </w:rPr>
        <w:t>Changes to Attached Appendices</w:t>
      </w:r>
    </w:p>
    <w:p w:rsidR="00673418" w:rsidRDefault="00673418" w:rsidP="00673418">
      <w:pPr>
        <w:pStyle w:val="ListParagraph"/>
        <w:numPr>
          <w:ilvl w:val="0"/>
          <w:numId w:val="1"/>
        </w:numPr>
        <w:tabs>
          <w:tab w:val="left" w:pos="360"/>
        </w:tabs>
        <w:spacing w:after="120"/>
        <w:contextualSpacing w:val="0"/>
        <w:rPr>
          <w:sz w:val="22"/>
          <w:szCs w:val="22"/>
        </w:rPr>
      </w:pPr>
      <w:r>
        <w:rPr>
          <w:sz w:val="22"/>
          <w:szCs w:val="22"/>
        </w:rPr>
        <w:t xml:space="preserve">All NSPS and NESHAP </w:t>
      </w:r>
      <w:r w:rsidR="009F16AF">
        <w:rPr>
          <w:sz w:val="22"/>
          <w:szCs w:val="22"/>
        </w:rPr>
        <w:t>appendices have been updated to their current versions and formats.</w:t>
      </w:r>
    </w:p>
    <w:p w:rsidR="009F16AF" w:rsidRPr="00673418" w:rsidRDefault="009F16AF" w:rsidP="00673418">
      <w:pPr>
        <w:pStyle w:val="ListParagraph"/>
        <w:numPr>
          <w:ilvl w:val="0"/>
          <w:numId w:val="1"/>
        </w:numPr>
        <w:tabs>
          <w:tab w:val="left" w:pos="360"/>
        </w:tabs>
        <w:spacing w:after="120"/>
        <w:contextualSpacing w:val="0"/>
        <w:rPr>
          <w:sz w:val="22"/>
          <w:szCs w:val="22"/>
        </w:rPr>
      </w:pPr>
      <w:r>
        <w:rPr>
          <w:sz w:val="22"/>
          <w:szCs w:val="22"/>
        </w:rPr>
        <w:t>Table H has been updated with information about this permit and concurrent Permit No. 0850001-041-AC/PSD-FL-146J and 327G.</w:t>
      </w:r>
    </w:p>
    <w:p w:rsidR="009424E0" w:rsidRPr="00757B5E" w:rsidRDefault="0057507D" w:rsidP="00303BD3">
      <w:pPr>
        <w:spacing w:after="120"/>
        <w:rPr>
          <w:b/>
          <w:caps/>
          <w:sz w:val="22"/>
          <w:szCs w:val="22"/>
        </w:rPr>
      </w:pPr>
      <w:r w:rsidRPr="00757B5E">
        <w:rPr>
          <w:b/>
          <w:caps/>
          <w:sz w:val="22"/>
          <w:szCs w:val="22"/>
        </w:rPr>
        <w:t>Conclusion</w:t>
      </w:r>
    </w:p>
    <w:p w:rsidR="0060439F" w:rsidRDefault="004E1AC5" w:rsidP="00303BD3">
      <w:pPr>
        <w:spacing w:after="120"/>
        <w:rPr>
          <w:sz w:val="22"/>
          <w:szCs w:val="22"/>
        </w:rPr>
      </w:pPr>
      <w:r w:rsidRPr="00B46FEC">
        <w:rPr>
          <w:sz w:val="22"/>
          <w:szCs w:val="22"/>
        </w:rPr>
        <w:t xml:space="preserve">This project </w:t>
      </w:r>
      <w:r w:rsidR="00770A31" w:rsidRPr="00B46FEC">
        <w:rPr>
          <w:sz w:val="22"/>
          <w:szCs w:val="22"/>
        </w:rPr>
        <w:t>renews</w:t>
      </w:r>
      <w:r w:rsidRPr="00B46FEC">
        <w:rPr>
          <w:sz w:val="22"/>
          <w:szCs w:val="22"/>
        </w:rPr>
        <w:t xml:space="preserve"> Title V a</w:t>
      </w:r>
      <w:r w:rsidR="00472C59" w:rsidRPr="00B46FEC">
        <w:rPr>
          <w:sz w:val="22"/>
          <w:szCs w:val="22"/>
        </w:rPr>
        <w:t xml:space="preserve">ir </w:t>
      </w:r>
      <w:r w:rsidRPr="00B46FEC">
        <w:rPr>
          <w:sz w:val="22"/>
          <w:szCs w:val="22"/>
        </w:rPr>
        <w:t>o</w:t>
      </w:r>
      <w:r w:rsidR="00472C59" w:rsidRPr="00B46FEC">
        <w:rPr>
          <w:sz w:val="22"/>
          <w:szCs w:val="22"/>
        </w:rPr>
        <w:t xml:space="preserve">peration </w:t>
      </w:r>
      <w:r w:rsidRPr="00B46FEC">
        <w:rPr>
          <w:sz w:val="22"/>
          <w:szCs w:val="22"/>
        </w:rPr>
        <w:t>p</w:t>
      </w:r>
      <w:r w:rsidR="00472C59" w:rsidRPr="00B46FEC">
        <w:rPr>
          <w:sz w:val="22"/>
          <w:szCs w:val="22"/>
        </w:rPr>
        <w:t>ermit</w:t>
      </w:r>
      <w:r w:rsidRPr="00B46FEC">
        <w:rPr>
          <w:sz w:val="22"/>
          <w:szCs w:val="22"/>
        </w:rPr>
        <w:t xml:space="preserve"> </w:t>
      </w:r>
      <w:r w:rsidR="00472C59" w:rsidRPr="00B46FEC">
        <w:rPr>
          <w:sz w:val="22"/>
          <w:szCs w:val="22"/>
        </w:rPr>
        <w:t xml:space="preserve">No. </w:t>
      </w:r>
      <w:r w:rsidR="00B46FEC" w:rsidRPr="00B46FEC">
        <w:rPr>
          <w:sz w:val="22"/>
          <w:szCs w:val="22"/>
        </w:rPr>
        <w:t>0850001</w:t>
      </w:r>
      <w:r w:rsidR="009F3776" w:rsidRPr="00B46FEC">
        <w:rPr>
          <w:sz w:val="22"/>
          <w:szCs w:val="22"/>
        </w:rPr>
        <w:t>-</w:t>
      </w:r>
      <w:r w:rsidR="00B46FEC" w:rsidRPr="00B46FEC">
        <w:rPr>
          <w:sz w:val="22"/>
          <w:szCs w:val="22"/>
        </w:rPr>
        <w:t>033</w:t>
      </w:r>
      <w:r w:rsidR="00472C59" w:rsidRPr="00B46FEC">
        <w:rPr>
          <w:sz w:val="22"/>
          <w:szCs w:val="22"/>
        </w:rPr>
        <w:t>-AV</w:t>
      </w:r>
      <w:r w:rsidRPr="00B46FEC">
        <w:rPr>
          <w:sz w:val="22"/>
          <w:szCs w:val="22"/>
        </w:rPr>
        <w:t xml:space="preserve">, which </w:t>
      </w:r>
      <w:r w:rsidR="00472C59" w:rsidRPr="00B46FEC">
        <w:rPr>
          <w:sz w:val="22"/>
          <w:szCs w:val="22"/>
        </w:rPr>
        <w:t xml:space="preserve">was </w:t>
      </w:r>
      <w:r w:rsidR="00A910E5" w:rsidRPr="00B46FEC">
        <w:rPr>
          <w:sz w:val="22"/>
          <w:szCs w:val="22"/>
        </w:rPr>
        <w:t>effective</w:t>
      </w:r>
      <w:r w:rsidR="00472C59" w:rsidRPr="00B46FEC">
        <w:rPr>
          <w:sz w:val="22"/>
          <w:szCs w:val="22"/>
        </w:rPr>
        <w:t xml:space="preserve"> on</w:t>
      </w:r>
      <w:r w:rsidR="00B46FEC" w:rsidRPr="00B46FEC">
        <w:rPr>
          <w:sz w:val="22"/>
          <w:szCs w:val="22"/>
        </w:rPr>
        <w:t xml:space="preserve"> December 10, 2013</w:t>
      </w:r>
      <w:r w:rsidR="00472C59" w:rsidRPr="00B46FEC">
        <w:rPr>
          <w:sz w:val="22"/>
          <w:szCs w:val="22"/>
        </w:rPr>
        <w:t xml:space="preserve">.  This Title V </w:t>
      </w:r>
      <w:r w:rsidR="0067118D" w:rsidRPr="00B46FEC">
        <w:rPr>
          <w:sz w:val="22"/>
          <w:szCs w:val="22"/>
        </w:rPr>
        <w:t>a</w:t>
      </w:r>
      <w:r w:rsidR="00472C59" w:rsidRPr="00B46FEC">
        <w:rPr>
          <w:sz w:val="22"/>
          <w:szCs w:val="22"/>
        </w:rPr>
        <w:t xml:space="preserve">ir </w:t>
      </w:r>
      <w:r w:rsidR="0067118D" w:rsidRPr="00B46FEC">
        <w:rPr>
          <w:sz w:val="22"/>
          <w:szCs w:val="22"/>
        </w:rPr>
        <w:t>o</w:t>
      </w:r>
      <w:r w:rsidR="00472C59" w:rsidRPr="00B46FEC">
        <w:rPr>
          <w:sz w:val="22"/>
          <w:szCs w:val="22"/>
        </w:rPr>
        <w:t xml:space="preserve">peration </w:t>
      </w:r>
      <w:r w:rsidR="0067118D" w:rsidRPr="00B46FEC">
        <w:rPr>
          <w:sz w:val="22"/>
          <w:szCs w:val="22"/>
        </w:rPr>
        <w:t>p</w:t>
      </w:r>
      <w:r w:rsidR="00472C59" w:rsidRPr="00B46FEC">
        <w:rPr>
          <w:sz w:val="22"/>
          <w:szCs w:val="22"/>
        </w:rPr>
        <w:t xml:space="preserve">ermit </w:t>
      </w:r>
      <w:r w:rsidR="0067118D" w:rsidRPr="00B46FEC">
        <w:rPr>
          <w:sz w:val="22"/>
          <w:szCs w:val="22"/>
        </w:rPr>
        <w:t>r</w:t>
      </w:r>
      <w:r w:rsidR="00770A31" w:rsidRPr="00B46FEC">
        <w:rPr>
          <w:sz w:val="22"/>
          <w:szCs w:val="22"/>
        </w:rPr>
        <w:t>enewal</w:t>
      </w:r>
      <w:r w:rsidR="00472C59" w:rsidRPr="00B46FEC">
        <w:rPr>
          <w:sz w:val="22"/>
          <w:szCs w:val="22"/>
        </w:rPr>
        <w:t xml:space="preserve"> is issued under</w:t>
      </w:r>
      <w:r w:rsidR="0057507D" w:rsidRPr="00B46FEC">
        <w:rPr>
          <w:sz w:val="22"/>
          <w:szCs w:val="22"/>
        </w:rPr>
        <w:t xml:space="preserve"> the provisions of Chapter 403, </w:t>
      </w:r>
      <w:r w:rsidR="009226AE" w:rsidRPr="00B46FEC">
        <w:rPr>
          <w:sz w:val="22"/>
          <w:szCs w:val="22"/>
        </w:rPr>
        <w:t>Florida Statues (</w:t>
      </w:r>
      <w:r w:rsidR="0057507D" w:rsidRPr="00B46FEC">
        <w:rPr>
          <w:sz w:val="22"/>
          <w:szCs w:val="22"/>
        </w:rPr>
        <w:t>F</w:t>
      </w:r>
      <w:r w:rsidR="00472C59" w:rsidRPr="00B46FEC">
        <w:rPr>
          <w:sz w:val="22"/>
          <w:szCs w:val="22"/>
        </w:rPr>
        <w:t>.S.</w:t>
      </w:r>
      <w:r w:rsidR="009226AE" w:rsidRPr="00B46FEC">
        <w:rPr>
          <w:sz w:val="22"/>
          <w:szCs w:val="22"/>
        </w:rPr>
        <w:t>)</w:t>
      </w:r>
      <w:r w:rsidR="00472C59" w:rsidRPr="00B46FEC">
        <w:rPr>
          <w:sz w:val="22"/>
          <w:szCs w:val="22"/>
        </w:rPr>
        <w:t>, and Chapters 62-4, 62-210</w:t>
      </w:r>
      <w:r w:rsidR="009F3614" w:rsidRPr="00B46FEC">
        <w:rPr>
          <w:sz w:val="22"/>
          <w:szCs w:val="22"/>
        </w:rPr>
        <w:t>,</w:t>
      </w:r>
      <w:r w:rsidR="00472C59" w:rsidRPr="00B46FEC">
        <w:rPr>
          <w:sz w:val="22"/>
          <w:szCs w:val="22"/>
        </w:rPr>
        <w:t xml:space="preserve"> </w:t>
      </w:r>
      <w:r w:rsidR="001152D2" w:rsidRPr="00B46FEC">
        <w:rPr>
          <w:sz w:val="22"/>
          <w:szCs w:val="22"/>
        </w:rPr>
        <w:t xml:space="preserve">and </w:t>
      </w:r>
      <w:r w:rsidR="00472C59" w:rsidRPr="00B46FEC">
        <w:rPr>
          <w:sz w:val="22"/>
          <w:szCs w:val="22"/>
        </w:rPr>
        <w:t>62-213</w:t>
      </w:r>
      <w:r w:rsidR="009F3614" w:rsidRPr="00B46FEC">
        <w:rPr>
          <w:sz w:val="22"/>
          <w:szCs w:val="22"/>
        </w:rPr>
        <w:t xml:space="preserve">, </w:t>
      </w:r>
      <w:r w:rsidR="0057507D" w:rsidRPr="00B46FEC">
        <w:rPr>
          <w:sz w:val="22"/>
          <w:szCs w:val="22"/>
        </w:rPr>
        <w:t>F.A.C</w:t>
      </w:r>
      <w:r w:rsidR="00B657B6" w:rsidRPr="00B46FEC">
        <w:rPr>
          <w:sz w:val="22"/>
          <w:szCs w:val="22"/>
        </w:rPr>
        <w:t>.</w:t>
      </w:r>
      <w:r w:rsidR="00D61CA6" w:rsidRPr="00B46FEC">
        <w:rPr>
          <w:sz w:val="22"/>
          <w:szCs w:val="22"/>
        </w:rPr>
        <w:t xml:space="preserve"> </w:t>
      </w:r>
    </w:p>
    <w:sectPr w:rsidR="0060439F" w:rsidSect="009F3776">
      <w:headerReference w:type="even" r:id="rId17"/>
      <w:headerReference w:type="default" r:id="rId18"/>
      <w:footerReference w:type="even" r:id="rId19"/>
      <w:footerReference w:type="default" r:id="rId20"/>
      <w:headerReference w:type="first" r:id="rId21"/>
      <w:footerReference w:type="first" r:id="rId22"/>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577" w:rsidRDefault="00DC0577">
      <w:r>
        <w:separator/>
      </w:r>
    </w:p>
  </w:endnote>
  <w:endnote w:type="continuationSeparator" w:id="0">
    <w:p w:rsidR="00DC0577" w:rsidRDefault="00DC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144" w:rsidRDefault="008A4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5450" w:rsidRPr="00475450" w:rsidRDefault="00475450" w:rsidP="00475450">
    <w:pPr>
      <w:pBdr>
        <w:top w:val="single" w:sz="6" w:space="1" w:color="auto"/>
      </w:pBdr>
      <w:tabs>
        <w:tab w:val="right" w:pos="10080"/>
      </w:tabs>
      <w:spacing w:before="240"/>
    </w:pPr>
    <w:r w:rsidRPr="00475450">
      <w:t>Florida Power and Light Company</w:t>
    </w:r>
    <w:r w:rsidRPr="00475450">
      <w:tab/>
      <w:t>Permit No. 0850001-042-AV</w:t>
    </w:r>
  </w:p>
  <w:p w:rsidR="00475450" w:rsidRPr="00475450" w:rsidRDefault="00475450" w:rsidP="00475450">
    <w:pPr>
      <w:tabs>
        <w:tab w:val="right" w:pos="10080"/>
      </w:tabs>
    </w:pPr>
    <w:r w:rsidRPr="00475450">
      <w:t>Martin Power Plant</w:t>
    </w:r>
    <w:r w:rsidRPr="00475450">
      <w:tab/>
      <w:t>Title V Air Operation Permit Renewal</w:t>
    </w:r>
  </w:p>
  <w:p w:rsidR="00DC0577" w:rsidRDefault="00DC0577" w:rsidP="00303BD3">
    <w:pPr>
      <w:pStyle w:val="Footer"/>
      <w:jc w:val="center"/>
    </w:pPr>
    <w:r w:rsidRPr="001356F7">
      <w:t xml:space="preserve">Page </w:t>
    </w:r>
    <w:r w:rsidRPr="001356F7">
      <w:fldChar w:fldCharType="begin"/>
    </w:r>
    <w:r w:rsidRPr="001356F7">
      <w:instrText xml:space="preserve"> PAGE </w:instrText>
    </w:r>
    <w:r w:rsidRPr="001356F7">
      <w:fldChar w:fldCharType="separate"/>
    </w:r>
    <w:r w:rsidR="00DB5688">
      <w:rPr>
        <w:noProof/>
      </w:rPr>
      <w:t>42</w:t>
    </w:r>
    <w:r w:rsidRPr="001356F7">
      <w:rPr>
        <w:noProof/>
      </w:rPr>
      <w:fldChar w:fldCharType="end"/>
    </w:r>
    <w:r w:rsidRPr="001356F7">
      <w:t xml:space="preserve"> of </w:t>
    </w:r>
    <w:r>
      <w:rPr>
        <w:noProof/>
      </w:rPr>
      <w:fldChar w:fldCharType="begin"/>
    </w:r>
    <w:r>
      <w:rPr>
        <w:noProof/>
      </w:rPr>
      <w:instrText xml:space="preserve"> NUMPAGES </w:instrText>
    </w:r>
    <w:r>
      <w:rPr>
        <w:noProof/>
      </w:rPr>
      <w:fldChar w:fldCharType="separate"/>
    </w:r>
    <w:r w:rsidR="00DB5688">
      <w:rPr>
        <w:noProof/>
      </w:rPr>
      <w:t>42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144" w:rsidRDefault="008A4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577" w:rsidRDefault="00DC0577">
      <w:r>
        <w:separator/>
      </w:r>
    </w:p>
  </w:footnote>
  <w:footnote w:type="continuationSeparator" w:id="0">
    <w:p w:rsidR="00DC0577" w:rsidRDefault="00DC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144" w:rsidRDefault="008A41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77" w:rsidRPr="00303BD3" w:rsidRDefault="00DC0577"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144" w:rsidRDefault="008A4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E34"/>
    <w:multiLevelType w:val="hybridMultilevel"/>
    <w:tmpl w:val="3EA0FC9C"/>
    <w:lvl w:ilvl="0" w:tplc="959E3516">
      <w:start w:val="1"/>
      <w:numFmt w:val="lowerLetter"/>
      <w:lvlText w:val="%1."/>
      <w:lvlJc w:val="left"/>
      <w:pPr>
        <w:ind w:left="1440" w:hanging="360"/>
      </w:pPr>
      <w:rPr>
        <w:rFonts w:ascii="Times New Roman" w:hAnsi="Times New Roman"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0E461BD"/>
    <w:multiLevelType w:val="hybridMultilevel"/>
    <w:tmpl w:val="BE26675E"/>
    <w:lvl w:ilvl="0" w:tplc="959E3516">
      <w:start w:val="1"/>
      <w:numFmt w:val="lowerLetter"/>
      <w:lvlText w:val="%1."/>
      <w:lvlJc w:val="left"/>
      <w:pPr>
        <w:ind w:left="1800" w:hanging="360"/>
      </w:pPr>
      <w:rPr>
        <w:rFonts w:ascii="Times New Roman" w:hAnsi="Times New Roman"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1443197"/>
    <w:multiLevelType w:val="hybridMultilevel"/>
    <w:tmpl w:val="5C163080"/>
    <w:lvl w:ilvl="0" w:tplc="A6E89D52">
      <w:start w:val="8"/>
      <w:numFmt w:val="decimal"/>
      <w:lvlText w:val="B.%1."/>
      <w:lvlJc w:val="left"/>
      <w:pPr>
        <w:tabs>
          <w:tab w:val="num" w:pos="360"/>
        </w:tabs>
        <w:ind w:left="720" w:hanging="360"/>
      </w:pPr>
      <w:rPr>
        <w:rFonts w:hint="default"/>
        <w:b/>
        <w:i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1D215E3"/>
    <w:multiLevelType w:val="hybridMultilevel"/>
    <w:tmpl w:val="9D7AED84"/>
    <w:lvl w:ilvl="0" w:tplc="EEF8661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356365C"/>
    <w:multiLevelType w:val="hybridMultilevel"/>
    <w:tmpl w:val="6CEE673A"/>
    <w:lvl w:ilvl="0" w:tplc="AF561C60">
      <w:start w:val="36"/>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766E08"/>
    <w:multiLevelType w:val="hybridMultilevel"/>
    <w:tmpl w:val="DAF47B6C"/>
    <w:lvl w:ilvl="0" w:tplc="EEF866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4492716"/>
    <w:multiLevelType w:val="hybridMultilevel"/>
    <w:tmpl w:val="14D46452"/>
    <w:lvl w:ilvl="0" w:tplc="015C71A4">
      <w:start w:val="25"/>
      <w:numFmt w:val="decimal"/>
      <w:lvlText w:val="D.%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41322"/>
    <w:multiLevelType w:val="hybridMultilevel"/>
    <w:tmpl w:val="52CA921C"/>
    <w:lvl w:ilvl="0" w:tplc="06EE1828">
      <w:start w:val="25"/>
      <w:numFmt w:val="decimal"/>
      <w:lvlText w:val="B.%1."/>
      <w:lvlJc w:val="left"/>
      <w:pPr>
        <w:tabs>
          <w:tab w:val="num" w:pos="0"/>
        </w:tabs>
        <w:ind w:left="360" w:hanging="360"/>
      </w:pPr>
      <w:rPr>
        <w:rFonts w:hint="default"/>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485903"/>
    <w:multiLevelType w:val="hybridMultilevel"/>
    <w:tmpl w:val="4238CCC6"/>
    <w:lvl w:ilvl="0" w:tplc="EEF866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28B094B"/>
    <w:multiLevelType w:val="hybridMultilevel"/>
    <w:tmpl w:val="87A0A612"/>
    <w:lvl w:ilvl="0" w:tplc="25E4F0E4">
      <w:start w:val="11"/>
      <w:numFmt w:val="decimal"/>
      <w:lvlText w:val="A.%1."/>
      <w:lvlJc w:val="left"/>
      <w:pPr>
        <w:tabs>
          <w:tab w:val="num" w:pos="183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A865EF"/>
    <w:multiLevelType w:val="hybridMultilevel"/>
    <w:tmpl w:val="17161B46"/>
    <w:lvl w:ilvl="0" w:tplc="4A3C54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32807EE"/>
    <w:multiLevelType w:val="hybridMultilevel"/>
    <w:tmpl w:val="884AEB14"/>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3333F8D"/>
    <w:multiLevelType w:val="hybridMultilevel"/>
    <w:tmpl w:val="80F6C99A"/>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385123F"/>
    <w:multiLevelType w:val="hybridMultilevel"/>
    <w:tmpl w:val="598A9B4A"/>
    <w:lvl w:ilvl="0" w:tplc="499091A6">
      <w:start w:val="38"/>
      <w:numFmt w:val="decimal"/>
      <w:lvlText w:val="B.%1."/>
      <w:lvlJc w:val="left"/>
      <w:pPr>
        <w:tabs>
          <w:tab w:val="num" w:pos="360"/>
        </w:tabs>
        <w:ind w:left="720" w:hanging="360"/>
      </w:pPr>
      <w:rPr>
        <w:rFonts w:hint="default"/>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A66E4"/>
    <w:multiLevelType w:val="hybridMultilevel"/>
    <w:tmpl w:val="FD707974"/>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151511"/>
    <w:multiLevelType w:val="hybridMultilevel"/>
    <w:tmpl w:val="E720391E"/>
    <w:lvl w:ilvl="0" w:tplc="959E3516">
      <w:start w:val="1"/>
      <w:numFmt w:val="lowerLetter"/>
      <w:lvlText w:val="%1."/>
      <w:lvlJc w:val="left"/>
      <w:pPr>
        <w:ind w:left="72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B32AE0"/>
    <w:multiLevelType w:val="hybridMultilevel"/>
    <w:tmpl w:val="AC5A9EB0"/>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CF514EA"/>
    <w:multiLevelType w:val="hybridMultilevel"/>
    <w:tmpl w:val="3774E96E"/>
    <w:lvl w:ilvl="0" w:tplc="477EFD8A">
      <w:start w:val="1"/>
      <w:numFmt w:val="lowerLetter"/>
      <w:lvlText w:val="%1."/>
      <w:lvlJc w:val="left"/>
      <w:pPr>
        <w:ind w:left="21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FD265E5"/>
    <w:multiLevelType w:val="hybridMultilevel"/>
    <w:tmpl w:val="94CC00EE"/>
    <w:lvl w:ilvl="0" w:tplc="5DBC6958">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09103EE"/>
    <w:multiLevelType w:val="hybridMultilevel"/>
    <w:tmpl w:val="42DA3A66"/>
    <w:lvl w:ilvl="0" w:tplc="E0E2D64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0D83435"/>
    <w:multiLevelType w:val="hybridMultilevel"/>
    <w:tmpl w:val="443AC14A"/>
    <w:lvl w:ilvl="0" w:tplc="58424032">
      <w:start w:val="46"/>
      <w:numFmt w:val="decimal"/>
      <w:lvlText w:val="D.%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171455"/>
    <w:multiLevelType w:val="hybridMultilevel"/>
    <w:tmpl w:val="8F54F0CA"/>
    <w:lvl w:ilvl="0" w:tplc="EEF866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1D6430D"/>
    <w:multiLevelType w:val="hybridMultilevel"/>
    <w:tmpl w:val="356CCEA4"/>
    <w:lvl w:ilvl="0" w:tplc="63263978">
      <w:start w:val="3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15D46"/>
    <w:multiLevelType w:val="hybridMultilevel"/>
    <w:tmpl w:val="20666A42"/>
    <w:lvl w:ilvl="0" w:tplc="82D21962">
      <w:start w:val="11"/>
      <w:numFmt w:val="decimal"/>
      <w:lvlText w:val="H.%1. "/>
      <w:lvlJc w:val="left"/>
      <w:pPr>
        <w:tabs>
          <w:tab w:val="num" w:pos="720"/>
        </w:tabs>
        <w:ind w:left="720" w:hanging="720"/>
      </w:pPr>
      <w:rPr>
        <w:rFonts w:ascii="Times New Roman" w:hAnsi="Times New Roman" w:cs="Times New Roman" w:hint="default"/>
        <w:b/>
        <w:i w:val="0"/>
        <w:strike w:val="0"/>
        <w:dstrike w:val="0"/>
        <w:sz w:val="22"/>
        <w:szCs w:val="22"/>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4746F8"/>
    <w:multiLevelType w:val="hybridMultilevel"/>
    <w:tmpl w:val="46081010"/>
    <w:lvl w:ilvl="0" w:tplc="7DB29E24">
      <w:start w:val="5"/>
      <w:numFmt w:val="decimal"/>
      <w:lvlText w:val="D.%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824F61"/>
    <w:multiLevelType w:val="hybridMultilevel"/>
    <w:tmpl w:val="27A68EF2"/>
    <w:lvl w:ilvl="0" w:tplc="EEF8661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25D6429B"/>
    <w:multiLevelType w:val="hybridMultilevel"/>
    <w:tmpl w:val="FD625AF8"/>
    <w:lvl w:ilvl="0" w:tplc="21FE5500">
      <w:start w:val="3"/>
      <w:numFmt w:val="decimal"/>
      <w:lvlText w:val="B.%1."/>
      <w:lvlJc w:val="left"/>
      <w:pPr>
        <w:tabs>
          <w:tab w:val="num" w:pos="0"/>
        </w:tabs>
        <w:ind w:left="360" w:hanging="360"/>
      </w:pPr>
      <w:rPr>
        <w:rFonts w:hint="default"/>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E27E25"/>
    <w:multiLevelType w:val="hybridMultilevel"/>
    <w:tmpl w:val="2528CC64"/>
    <w:lvl w:ilvl="0" w:tplc="63BA7470">
      <w:start w:val="55"/>
      <w:numFmt w:val="decimal"/>
      <w:lvlText w:val="B.%1."/>
      <w:lvlJc w:val="left"/>
      <w:pPr>
        <w:tabs>
          <w:tab w:val="num" w:pos="0"/>
        </w:tabs>
        <w:ind w:left="360" w:hanging="360"/>
      </w:pPr>
      <w:rPr>
        <w:rFonts w:hint="default"/>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6CE6E26"/>
    <w:multiLevelType w:val="hybridMultilevel"/>
    <w:tmpl w:val="10748472"/>
    <w:lvl w:ilvl="0" w:tplc="6C30EF8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82379BD"/>
    <w:multiLevelType w:val="hybridMultilevel"/>
    <w:tmpl w:val="7C400BBC"/>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E390D06"/>
    <w:multiLevelType w:val="hybridMultilevel"/>
    <w:tmpl w:val="9C3400AE"/>
    <w:lvl w:ilvl="0" w:tplc="CEE24070">
      <w:start w:val="20"/>
      <w:numFmt w:val="decimal"/>
      <w:lvlText w:val="C.%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396F38"/>
    <w:multiLevelType w:val="hybridMultilevel"/>
    <w:tmpl w:val="0586444A"/>
    <w:lvl w:ilvl="0" w:tplc="A9FE153C">
      <w:start w:val="1"/>
      <w:numFmt w:val="decimal"/>
      <w:lvlText w:val="(%1)"/>
      <w:lvlJc w:val="left"/>
      <w:pPr>
        <w:ind w:left="900" w:hanging="180"/>
      </w:pPr>
      <w:rPr>
        <w:rFonts w:hint="default"/>
        <w:b w:val="0"/>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32" w15:restartNumberingAfterBreak="0">
    <w:nsid w:val="30782378"/>
    <w:multiLevelType w:val="hybridMultilevel"/>
    <w:tmpl w:val="CC06B6A2"/>
    <w:lvl w:ilvl="0" w:tplc="EEF866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31577BD"/>
    <w:multiLevelType w:val="hybridMultilevel"/>
    <w:tmpl w:val="BB7871C6"/>
    <w:lvl w:ilvl="0" w:tplc="B3F2EACE">
      <w:start w:val="34"/>
      <w:numFmt w:val="decimal"/>
      <w:lvlText w:val="D.%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3916FA1"/>
    <w:multiLevelType w:val="hybridMultilevel"/>
    <w:tmpl w:val="EED63D02"/>
    <w:lvl w:ilvl="0" w:tplc="039AA33C">
      <w:start w:val="1"/>
      <w:numFmt w:val="lowerLetter"/>
      <w:lvlText w:val="%1."/>
      <w:lvlJc w:val="left"/>
      <w:pPr>
        <w:ind w:left="720" w:hanging="360"/>
      </w:pPr>
      <w:rPr>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3649C1"/>
    <w:multiLevelType w:val="hybridMultilevel"/>
    <w:tmpl w:val="48B26090"/>
    <w:lvl w:ilvl="0" w:tplc="57582B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7696694"/>
    <w:multiLevelType w:val="hybridMultilevel"/>
    <w:tmpl w:val="7C400BBC"/>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80A14AE"/>
    <w:multiLevelType w:val="hybridMultilevel"/>
    <w:tmpl w:val="2CB0EA6C"/>
    <w:lvl w:ilvl="0" w:tplc="A35441E6">
      <w:start w:val="26"/>
      <w:numFmt w:val="decimal"/>
      <w:lvlText w:val="B.%1."/>
      <w:lvlJc w:val="left"/>
      <w:pPr>
        <w:tabs>
          <w:tab w:val="num" w:pos="0"/>
        </w:tabs>
        <w:ind w:left="360" w:hanging="360"/>
      </w:pPr>
      <w:rPr>
        <w:rFonts w:hint="default"/>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9115AF"/>
    <w:multiLevelType w:val="hybridMultilevel"/>
    <w:tmpl w:val="263A07BC"/>
    <w:lvl w:ilvl="0" w:tplc="EEF866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A9A6BE7"/>
    <w:multiLevelType w:val="hybridMultilevel"/>
    <w:tmpl w:val="57AE32FC"/>
    <w:lvl w:ilvl="0" w:tplc="3352490C">
      <w:start w:val="1"/>
      <w:numFmt w:val="lowerLetter"/>
      <w:lvlText w:val="%1."/>
      <w:lvlJc w:val="left"/>
      <w:pPr>
        <w:ind w:left="720" w:hanging="360"/>
      </w:pPr>
      <w:rPr>
        <w:rFonts w:ascii="Times New Roman" w:hAnsi="Times New Roman"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CC565D"/>
    <w:multiLevelType w:val="hybridMultilevel"/>
    <w:tmpl w:val="FE3CC742"/>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C611560"/>
    <w:multiLevelType w:val="hybridMultilevel"/>
    <w:tmpl w:val="4EC2BBF4"/>
    <w:lvl w:ilvl="0" w:tplc="5D5C19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3DA5282C"/>
    <w:multiLevelType w:val="hybridMultilevel"/>
    <w:tmpl w:val="76C2806A"/>
    <w:lvl w:ilvl="0" w:tplc="F69683DC">
      <w:start w:val="1"/>
      <w:numFmt w:val="decimal"/>
      <w:lvlText w:val="%1."/>
      <w:lvlJc w:val="left"/>
      <w:pPr>
        <w:ind w:left="360" w:hanging="360"/>
      </w:pPr>
      <w:rPr>
        <w:rFonts w:hint="default"/>
        <w:sz w:val="22"/>
        <w:u w:val="no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FAE3C3D"/>
    <w:multiLevelType w:val="hybridMultilevel"/>
    <w:tmpl w:val="84EAA2CE"/>
    <w:lvl w:ilvl="0" w:tplc="529CA800">
      <w:start w:val="47"/>
      <w:numFmt w:val="decimal"/>
      <w:lvlText w:val="B.%1."/>
      <w:lvlJc w:val="left"/>
      <w:pPr>
        <w:tabs>
          <w:tab w:val="num" w:pos="360"/>
        </w:tabs>
        <w:ind w:left="720" w:hanging="360"/>
      </w:pPr>
      <w:rPr>
        <w:rFonts w:hint="default"/>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0E2B4F"/>
    <w:multiLevelType w:val="hybridMultilevel"/>
    <w:tmpl w:val="C0F2C032"/>
    <w:lvl w:ilvl="0" w:tplc="4CF24A82">
      <w:start w:val="1"/>
      <w:numFmt w:val="decimal"/>
      <w:lvlText w:val="I.%1. "/>
      <w:lvlJc w:val="left"/>
      <w:pPr>
        <w:tabs>
          <w:tab w:val="num" w:pos="1080"/>
        </w:tabs>
        <w:ind w:left="1080" w:hanging="720"/>
      </w:pPr>
      <w:rPr>
        <w:rFonts w:ascii="Times New Roman" w:hAnsi="Times New Roman" w:cs="Times New Roman" w:hint="default"/>
        <w:b/>
        <w:i w:val="0"/>
        <w:dstrike w:val="0"/>
        <w:sz w:val="22"/>
        <w:szCs w:val="22"/>
      </w:rPr>
    </w:lvl>
    <w:lvl w:ilvl="1" w:tplc="FBBCF3B2">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0360B68"/>
    <w:multiLevelType w:val="hybridMultilevel"/>
    <w:tmpl w:val="47B2D2D8"/>
    <w:lvl w:ilvl="0" w:tplc="EEF8661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40F94A8E"/>
    <w:multiLevelType w:val="hybridMultilevel"/>
    <w:tmpl w:val="6F9412DC"/>
    <w:lvl w:ilvl="0" w:tplc="3B7C59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1E76DDD"/>
    <w:multiLevelType w:val="hybridMultilevel"/>
    <w:tmpl w:val="329AAE18"/>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3514C8A"/>
    <w:multiLevelType w:val="hybridMultilevel"/>
    <w:tmpl w:val="F2DC829C"/>
    <w:lvl w:ilvl="0" w:tplc="C0005D24">
      <w:start w:val="51"/>
      <w:numFmt w:val="decimal"/>
      <w:lvlText w:val="B.%1."/>
      <w:lvlJc w:val="left"/>
      <w:pPr>
        <w:tabs>
          <w:tab w:val="num" w:pos="0"/>
        </w:tabs>
        <w:ind w:left="360" w:hanging="360"/>
      </w:pPr>
      <w:rPr>
        <w:rFonts w:hint="default"/>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39A35C4"/>
    <w:multiLevelType w:val="hybridMultilevel"/>
    <w:tmpl w:val="7C400BBC"/>
    <w:lvl w:ilvl="0" w:tplc="959E3516">
      <w:start w:val="1"/>
      <w:numFmt w:val="lowerLetter"/>
      <w:lvlText w:val="%1."/>
      <w:lvlJc w:val="left"/>
      <w:pPr>
        <w:ind w:left="1080" w:hanging="360"/>
      </w:pPr>
      <w:rPr>
        <w:rFonts w:ascii="Times New Roman" w:hAnsi="Times New Roman" w:hint="default"/>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43BE15B2"/>
    <w:multiLevelType w:val="hybridMultilevel"/>
    <w:tmpl w:val="ED62739E"/>
    <w:lvl w:ilvl="0" w:tplc="0B0ACBBC">
      <w:start w:val="18"/>
      <w:numFmt w:val="decimal"/>
      <w:lvlText w:val="G.%1."/>
      <w:lvlJc w:val="left"/>
      <w:pPr>
        <w:ind w:left="720" w:hanging="360"/>
      </w:pPr>
      <w:rPr>
        <w:rFonts w:cs="Times New Roman" w:hint="default"/>
        <w:b/>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C64138"/>
    <w:multiLevelType w:val="hybridMultilevel"/>
    <w:tmpl w:val="4E56AEEA"/>
    <w:lvl w:ilvl="0" w:tplc="EE7478D0">
      <w:start w:val="1"/>
      <w:numFmt w:val="decimal"/>
      <w:lvlText w:val="(%1)"/>
      <w:lvlJc w:val="left"/>
      <w:pPr>
        <w:ind w:left="2880" w:hanging="360"/>
      </w:pPr>
      <w:rPr>
        <w:strike/>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52" w15:restartNumberingAfterBreak="0">
    <w:nsid w:val="44B22024"/>
    <w:multiLevelType w:val="hybridMultilevel"/>
    <w:tmpl w:val="6FCA26D8"/>
    <w:lvl w:ilvl="0" w:tplc="7E7E3278">
      <w:start w:val="24"/>
      <w:numFmt w:val="decimal"/>
      <w:lvlText w:val="A.%1."/>
      <w:lvlJc w:val="left"/>
      <w:pPr>
        <w:tabs>
          <w:tab w:val="num" w:pos="1836"/>
        </w:tabs>
        <w:ind w:left="0" w:firstLine="0"/>
      </w:pPr>
      <w:rPr>
        <w:rFonts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8EF3682"/>
    <w:multiLevelType w:val="hybridMultilevel"/>
    <w:tmpl w:val="9AF08366"/>
    <w:lvl w:ilvl="0" w:tplc="D1924B1A">
      <w:start w:val="40"/>
      <w:numFmt w:val="decimal"/>
      <w:lvlText w:val="D.%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92D08DC"/>
    <w:multiLevelType w:val="hybridMultilevel"/>
    <w:tmpl w:val="149E390C"/>
    <w:lvl w:ilvl="0" w:tplc="1F70642E">
      <w:start w:val="23"/>
      <w:numFmt w:val="decimal"/>
      <w:lvlText w:val="D.%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9F1C4E"/>
    <w:multiLevelType w:val="hybridMultilevel"/>
    <w:tmpl w:val="07E8C8E2"/>
    <w:lvl w:ilvl="0" w:tplc="882A1F1A">
      <w:start w:val="19"/>
      <w:numFmt w:val="decimal"/>
      <w:lvlText w:val="C.%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A560570"/>
    <w:multiLevelType w:val="hybridMultilevel"/>
    <w:tmpl w:val="9B580B7E"/>
    <w:lvl w:ilvl="0" w:tplc="EEF8661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4AFC5CE6"/>
    <w:multiLevelType w:val="hybridMultilevel"/>
    <w:tmpl w:val="6D389D78"/>
    <w:lvl w:ilvl="0" w:tplc="AADC67EE">
      <w:start w:val="16"/>
      <w:numFmt w:val="decimal"/>
      <w:lvlText w:val="A.%1."/>
      <w:lvlJc w:val="left"/>
      <w:pPr>
        <w:tabs>
          <w:tab w:val="num" w:pos="183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630B87"/>
    <w:multiLevelType w:val="hybridMultilevel"/>
    <w:tmpl w:val="C0E466FE"/>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D730C5C"/>
    <w:multiLevelType w:val="hybridMultilevel"/>
    <w:tmpl w:val="A6C45F16"/>
    <w:lvl w:ilvl="0" w:tplc="EEF866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4E123C18"/>
    <w:multiLevelType w:val="hybridMultilevel"/>
    <w:tmpl w:val="4052DD48"/>
    <w:lvl w:ilvl="0" w:tplc="05E4455E">
      <w:start w:val="1"/>
      <w:numFmt w:val="decimal"/>
      <w:lvlText w:val="A.%1."/>
      <w:lvlJc w:val="left"/>
      <w:pPr>
        <w:tabs>
          <w:tab w:val="num" w:pos="183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4EB12410"/>
    <w:multiLevelType w:val="hybridMultilevel"/>
    <w:tmpl w:val="710C40A4"/>
    <w:lvl w:ilvl="0" w:tplc="EEF8661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50AC2A21"/>
    <w:multiLevelType w:val="hybridMultilevel"/>
    <w:tmpl w:val="22CC58E6"/>
    <w:lvl w:ilvl="0" w:tplc="D7580C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51C10FBC"/>
    <w:multiLevelType w:val="hybridMultilevel"/>
    <w:tmpl w:val="5086A70A"/>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23F77AF"/>
    <w:multiLevelType w:val="hybridMultilevel"/>
    <w:tmpl w:val="61EABD98"/>
    <w:lvl w:ilvl="0" w:tplc="AA88B774">
      <w:start w:val="1"/>
      <w:numFmt w:val="decimal"/>
      <w:lvlText w:val="H.%1. "/>
      <w:lvlJc w:val="left"/>
      <w:pPr>
        <w:tabs>
          <w:tab w:val="num" w:pos="1260"/>
        </w:tabs>
        <w:ind w:left="1260" w:hanging="720"/>
      </w:pPr>
      <w:rPr>
        <w:rFonts w:ascii="Times New Roman" w:hAnsi="Times New Roman" w:cs="Times New Roman" w:hint="default"/>
        <w:b/>
        <w:i w:val="0"/>
        <w:strike w:val="0"/>
        <w:dstrike w:val="0"/>
        <w:sz w:val="22"/>
        <w:szCs w:val="22"/>
        <w:u w:val="none"/>
        <w:effect w:val="no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5" w15:restartNumberingAfterBreak="0">
    <w:nsid w:val="529E4002"/>
    <w:multiLevelType w:val="hybridMultilevel"/>
    <w:tmpl w:val="7C80CC26"/>
    <w:lvl w:ilvl="0" w:tplc="A726D52C">
      <w:start w:val="35"/>
      <w:numFmt w:val="decimal"/>
      <w:lvlText w:val="B.%1."/>
      <w:lvlJc w:val="left"/>
      <w:pPr>
        <w:tabs>
          <w:tab w:val="num" w:pos="360"/>
        </w:tabs>
        <w:ind w:left="720" w:hanging="360"/>
      </w:pPr>
      <w:rPr>
        <w:rFonts w:hint="default"/>
        <w:b/>
        <w:i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2CD5527"/>
    <w:multiLevelType w:val="hybridMultilevel"/>
    <w:tmpl w:val="1224521C"/>
    <w:lvl w:ilvl="0" w:tplc="BE92934E">
      <w:start w:val="7"/>
      <w:numFmt w:val="decimal"/>
      <w:lvlText w:val="D.%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3400D67"/>
    <w:multiLevelType w:val="hybridMultilevel"/>
    <w:tmpl w:val="A5B8344A"/>
    <w:lvl w:ilvl="0" w:tplc="501006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541F0256"/>
    <w:multiLevelType w:val="hybridMultilevel"/>
    <w:tmpl w:val="827C5072"/>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54CB4337"/>
    <w:multiLevelType w:val="hybridMultilevel"/>
    <w:tmpl w:val="AF48CF1E"/>
    <w:lvl w:ilvl="0" w:tplc="959E3516">
      <w:start w:val="1"/>
      <w:numFmt w:val="lowerLetter"/>
      <w:lvlText w:val="%1."/>
      <w:lvlJc w:val="left"/>
      <w:pPr>
        <w:ind w:left="72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4A4351"/>
    <w:multiLevelType w:val="hybridMultilevel"/>
    <w:tmpl w:val="AC5A9EB0"/>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58E664D"/>
    <w:multiLevelType w:val="hybridMultilevel"/>
    <w:tmpl w:val="EB525C1C"/>
    <w:lvl w:ilvl="0" w:tplc="28F0CEEC">
      <w:start w:val="7"/>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7866F37"/>
    <w:multiLevelType w:val="hybridMultilevel"/>
    <w:tmpl w:val="CB7E2ADE"/>
    <w:lvl w:ilvl="0" w:tplc="051091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583A7E38"/>
    <w:multiLevelType w:val="hybridMultilevel"/>
    <w:tmpl w:val="F60CDAF2"/>
    <w:lvl w:ilvl="0" w:tplc="64824968">
      <w:start w:val="29"/>
      <w:numFmt w:val="decimal"/>
      <w:lvlText w:val="B.%1."/>
      <w:lvlJc w:val="left"/>
      <w:pPr>
        <w:tabs>
          <w:tab w:val="num" w:pos="360"/>
        </w:tabs>
        <w:ind w:left="720" w:hanging="360"/>
      </w:pPr>
      <w:rPr>
        <w:rFonts w:hint="default"/>
        <w:b/>
        <w:i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58CD757E"/>
    <w:multiLevelType w:val="hybridMultilevel"/>
    <w:tmpl w:val="520625A8"/>
    <w:lvl w:ilvl="0" w:tplc="7D2C76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596A7E7F"/>
    <w:multiLevelType w:val="hybridMultilevel"/>
    <w:tmpl w:val="42507192"/>
    <w:lvl w:ilvl="0" w:tplc="EEF8661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15:restartNumberingAfterBreak="0">
    <w:nsid w:val="5A0A0975"/>
    <w:multiLevelType w:val="hybridMultilevel"/>
    <w:tmpl w:val="2160D134"/>
    <w:lvl w:ilvl="0" w:tplc="0CF8DB2C">
      <w:start w:val="1"/>
      <w:numFmt w:val="lowerLetter"/>
      <w:lvlText w:val="%1."/>
      <w:lvlJc w:val="left"/>
      <w:pPr>
        <w:tabs>
          <w:tab w:val="num" w:pos="1080"/>
        </w:tabs>
        <w:ind w:left="1080" w:hanging="360"/>
      </w:pPr>
      <w:rPr>
        <w:rFonts w:cs="Times New Roman"/>
        <w:b w:val="0"/>
        <w:i w:val="0"/>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7" w15:restartNumberingAfterBreak="0">
    <w:nsid w:val="5AD43C1D"/>
    <w:multiLevelType w:val="hybridMultilevel"/>
    <w:tmpl w:val="BB22A8E0"/>
    <w:lvl w:ilvl="0" w:tplc="16AE5A32">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8" w15:restartNumberingAfterBreak="0">
    <w:nsid w:val="5C574189"/>
    <w:multiLevelType w:val="hybridMultilevel"/>
    <w:tmpl w:val="7584AD00"/>
    <w:lvl w:ilvl="0" w:tplc="7340F6A8">
      <w:start w:val="1"/>
      <w:numFmt w:val="lowerLetter"/>
      <w:lvlText w:val="%1."/>
      <w:lvlJc w:val="left"/>
      <w:pPr>
        <w:ind w:left="1080" w:hanging="360"/>
      </w:pPr>
      <w:rPr>
        <w:strik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5FD819D2"/>
    <w:multiLevelType w:val="hybridMultilevel"/>
    <w:tmpl w:val="9280DD2A"/>
    <w:lvl w:ilvl="0" w:tplc="959E3516">
      <w:start w:val="1"/>
      <w:numFmt w:val="lowerLetter"/>
      <w:lvlText w:val="%1."/>
      <w:lvlJc w:val="left"/>
      <w:pPr>
        <w:ind w:left="1080" w:hanging="360"/>
      </w:pPr>
      <w:rPr>
        <w:rFonts w:ascii="Times New Roman" w:hAnsi="Times New Roman" w:hint="default"/>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606E27C3"/>
    <w:multiLevelType w:val="hybridMultilevel"/>
    <w:tmpl w:val="CB7E2ADE"/>
    <w:lvl w:ilvl="0" w:tplc="051091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61C16C7D"/>
    <w:multiLevelType w:val="hybridMultilevel"/>
    <w:tmpl w:val="94CC00EE"/>
    <w:lvl w:ilvl="0" w:tplc="5DBC69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629D7142"/>
    <w:multiLevelType w:val="hybridMultilevel"/>
    <w:tmpl w:val="88DE1896"/>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63143D2A"/>
    <w:multiLevelType w:val="hybridMultilevel"/>
    <w:tmpl w:val="725E10E2"/>
    <w:lvl w:ilvl="0" w:tplc="477E19C4">
      <w:start w:val="61"/>
      <w:numFmt w:val="decimal"/>
      <w:lvlText w:val="A.%1."/>
      <w:lvlJc w:val="left"/>
      <w:pPr>
        <w:tabs>
          <w:tab w:val="num" w:pos="183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32D769E"/>
    <w:multiLevelType w:val="hybridMultilevel"/>
    <w:tmpl w:val="BF6413F0"/>
    <w:lvl w:ilvl="0" w:tplc="10726330">
      <w:start w:val="56"/>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13223F"/>
    <w:multiLevelType w:val="hybridMultilevel"/>
    <w:tmpl w:val="0F36E98E"/>
    <w:lvl w:ilvl="0" w:tplc="F7D0AB78">
      <w:start w:val="1"/>
      <w:numFmt w:val="decimal"/>
      <w:lvlText w:val="D.%1."/>
      <w:lvlJc w:val="left"/>
      <w:pPr>
        <w:tabs>
          <w:tab w:val="num" w:pos="1080"/>
        </w:tabs>
        <w:ind w:left="1080" w:hanging="720"/>
      </w:pPr>
      <w:rPr>
        <w:b/>
        <w:i w:val="0"/>
        <w:strike w:val="0"/>
        <w:dstrike w:val="0"/>
        <w:color w:val="auto"/>
        <w:sz w:val="22"/>
        <w:szCs w:val="22"/>
        <w:u w:val="none"/>
        <w:effect w:val="none"/>
      </w:rPr>
    </w:lvl>
    <w:lvl w:ilvl="1" w:tplc="B1520690">
      <w:start w:val="1"/>
      <w:numFmt w:val="lowerLetter"/>
      <w:lvlText w:val="%2."/>
      <w:lvlJc w:val="left"/>
      <w:pPr>
        <w:ind w:left="900" w:hanging="360"/>
      </w:pPr>
      <w:rPr>
        <w:strike w:val="0"/>
        <w:dstrike w:val="0"/>
        <w:u w:val="none"/>
        <w:effect w:val="none"/>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6" w15:restartNumberingAfterBreak="0">
    <w:nsid w:val="66FC25CC"/>
    <w:multiLevelType w:val="hybridMultilevel"/>
    <w:tmpl w:val="10FCEA46"/>
    <w:lvl w:ilvl="0" w:tplc="EEF866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68123590"/>
    <w:multiLevelType w:val="hybridMultilevel"/>
    <w:tmpl w:val="A26697D4"/>
    <w:lvl w:ilvl="0" w:tplc="1228E15C">
      <w:start w:val="1"/>
      <w:numFmt w:val="lowerLetter"/>
      <w:lvlText w:val="%1."/>
      <w:lvlJc w:val="left"/>
      <w:pPr>
        <w:tabs>
          <w:tab w:val="num" w:pos="1440"/>
        </w:tabs>
        <w:ind w:left="1080" w:hanging="360"/>
      </w:pPr>
      <w:rPr>
        <w:rFonts w:hint="default"/>
        <w:b w:val="0"/>
        <w:i w:val="0"/>
        <w:strike/>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8" w15:restartNumberingAfterBreak="0">
    <w:nsid w:val="688A4A4C"/>
    <w:multiLevelType w:val="hybridMultilevel"/>
    <w:tmpl w:val="39141B90"/>
    <w:lvl w:ilvl="0" w:tplc="2F1A548C">
      <w:start w:val="49"/>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A9407D2"/>
    <w:multiLevelType w:val="hybridMultilevel"/>
    <w:tmpl w:val="724C7018"/>
    <w:lvl w:ilvl="0" w:tplc="42A2C7C8">
      <w:start w:val="63"/>
      <w:numFmt w:val="decimal"/>
      <w:lvlText w:val="B.%1."/>
      <w:lvlJc w:val="left"/>
      <w:pPr>
        <w:tabs>
          <w:tab w:val="num" w:pos="360"/>
        </w:tabs>
        <w:ind w:left="720" w:hanging="360"/>
      </w:pPr>
      <w:rPr>
        <w:rFonts w:hint="default"/>
        <w:b/>
        <w:i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6CA54D19"/>
    <w:multiLevelType w:val="hybridMultilevel"/>
    <w:tmpl w:val="17161B46"/>
    <w:lvl w:ilvl="0" w:tplc="4A3C54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15:restartNumberingAfterBreak="0">
    <w:nsid w:val="6F097B27"/>
    <w:multiLevelType w:val="hybridMultilevel"/>
    <w:tmpl w:val="AA88BFE4"/>
    <w:lvl w:ilvl="0" w:tplc="959E3516">
      <w:start w:val="1"/>
      <w:numFmt w:val="lowerLetter"/>
      <w:lvlText w:val="%1."/>
      <w:lvlJc w:val="left"/>
      <w:pPr>
        <w:ind w:left="1440" w:hanging="360"/>
      </w:pPr>
      <w:rPr>
        <w:rFonts w:ascii="Times New Roman" w:hAnsi="Times New Roman"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15:restartNumberingAfterBreak="0">
    <w:nsid w:val="74BE67B5"/>
    <w:multiLevelType w:val="hybridMultilevel"/>
    <w:tmpl w:val="A654717C"/>
    <w:lvl w:ilvl="0" w:tplc="A9FC9DCC">
      <w:start w:val="1"/>
      <w:numFmt w:val="lowerLetter"/>
      <w:lvlText w:val="(%1)"/>
      <w:lvlJc w:val="left"/>
      <w:pPr>
        <w:ind w:left="1800" w:hanging="360"/>
      </w:pPr>
      <w:rPr>
        <w:rFonts w:hint="default"/>
        <w:b w:val="0"/>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769222A6"/>
    <w:multiLevelType w:val="hybridMultilevel"/>
    <w:tmpl w:val="C4A0A104"/>
    <w:lvl w:ilvl="0" w:tplc="881043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76ED2386"/>
    <w:multiLevelType w:val="hybridMultilevel"/>
    <w:tmpl w:val="F32C986C"/>
    <w:lvl w:ilvl="0" w:tplc="FBDA6A72">
      <w:start w:val="2"/>
      <w:numFmt w:val="decimal"/>
      <w:lvlText w:val="G.%1."/>
      <w:lvlJc w:val="left"/>
      <w:pPr>
        <w:tabs>
          <w:tab w:val="num" w:pos="1080"/>
        </w:tabs>
        <w:ind w:left="720" w:hanging="360"/>
      </w:pPr>
      <w:rPr>
        <w:rFonts w:cs="Times New Roman" w:hint="default"/>
        <w:b/>
        <w:i w:val="0"/>
        <w:strike w:val="0"/>
        <w:dstrike w:val="0"/>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76F308B8"/>
    <w:multiLevelType w:val="hybridMultilevel"/>
    <w:tmpl w:val="7C400BBC"/>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770B2CE3"/>
    <w:multiLevelType w:val="hybridMultilevel"/>
    <w:tmpl w:val="2CAC1F2E"/>
    <w:lvl w:ilvl="0" w:tplc="A992E4FC">
      <w:start w:val="8"/>
      <w:numFmt w:val="decimal"/>
      <w:lvlText w:val="C.%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77572149"/>
    <w:multiLevelType w:val="hybridMultilevel"/>
    <w:tmpl w:val="660C6730"/>
    <w:lvl w:ilvl="0" w:tplc="F68AAC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777635AB"/>
    <w:multiLevelType w:val="hybridMultilevel"/>
    <w:tmpl w:val="5B90FCAA"/>
    <w:lvl w:ilvl="0" w:tplc="15BC1C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84D615C"/>
    <w:multiLevelType w:val="hybridMultilevel"/>
    <w:tmpl w:val="9FB0BE2C"/>
    <w:lvl w:ilvl="0" w:tplc="EEF8661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0" w15:restartNumberingAfterBreak="0">
    <w:nsid w:val="78EB2916"/>
    <w:multiLevelType w:val="hybridMultilevel"/>
    <w:tmpl w:val="E0C46376"/>
    <w:lvl w:ilvl="0" w:tplc="8A848266">
      <w:start w:val="10"/>
      <w:numFmt w:val="decimal"/>
      <w:lvlText w:val="H.%1. "/>
      <w:lvlJc w:val="left"/>
      <w:pPr>
        <w:tabs>
          <w:tab w:val="num" w:pos="1080"/>
        </w:tabs>
        <w:ind w:left="1080" w:hanging="720"/>
      </w:pPr>
      <w:rPr>
        <w:rFonts w:ascii="Times New Roman" w:hAnsi="Times New Roman" w:cs="Times New Roman" w:hint="default"/>
        <w:b/>
        <w:i w:val="0"/>
        <w:strike w:val="0"/>
        <w:dstrike w:val="0"/>
        <w:sz w:val="22"/>
        <w:szCs w:val="22"/>
        <w:u w:val="none"/>
        <w:effect w:val="none"/>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1" w15:restartNumberingAfterBreak="0">
    <w:nsid w:val="7C2157CA"/>
    <w:multiLevelType w:val="hybridMultilevel"/>
    <w:tmpl w:val="60F06A56"/>
    <w:lvl w:ilvl="0" w:tplc="440287F2">
      <w:start w:val="45"/>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E0D1B5A"/>
    <w:multiLevelType w:val="hybridMultilevel"/>
    <w:tmpl w:val="1816773A"/>
    <w:lvl w:ilvl="0" w:tplc="47DAECBE">
      <w:start w:val="38"/>
      <w:numFmt w:val="decimal"/>
      <w:lvlText w:val="D.%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E48558D"/>
    <w:multiLevelType w:val="hybridMultilevel"/>
    <w:tmpl w:val="A96883BC"/>
    <w:lvl w:ilvl="0" w:tplc="6AD63410">
      <w:start w:val="1"/>
      <w:numFmt w:val="decimal"/>
      <w:lvlText w:val="B.%1."/>
      <w:lvlJc w:val="left"/>
      <w:pPr>
        <w:tabs>
          <w:tab w:val="num" w:pos="720"/>
        </w:tabs>
        <w:ind w:left="720" w:hanging="720"/>
      </w:pPr>
      <w:rPr>
        <w:rFonts w:ascii="Times New Roman" w:hAnsi="Times New Roman" w:cs="Times New Roman" w:hint="default"/>
        <w:b/>
        <w:i w:val="0"/>
        <w:dstrike w:val="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7EEC7491"/>
    <w:multiLevelType w:val="hybridMultilevel"/>
    <w:tmpl w:val="7EC6D61E"/>
    <w:lvl w:ilvl="0" w:tplc="BB3EEE4E">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5" w15:restartNumberingAfterBreak="0">
    <w:nsid w:val="7EEE4BC1"/>
    <w:multiLevelType w:val="hybridMultilevel"/>
    <w:tmpl w:val="FE743A6A"/>
    <w:lvl w:ilvl="0" w:tplc="2FFE986C">
      <w:start w:val="9"/>
      <w:numFmt w:val="decimal"/>
      <w:lvlText w:val="G.%1."/>
      <w:lvlJc w:val="left"/>
      <w:pPr>
        <w:tabs>
          <w:tab w:val="num" w:pos="1080"/>
        </w:tabs>
        <w:ind w:left="720" w:hanging="360"/>
      </w:pPr>
      <w:rPr>
        <w:rFonts w:cs="Times New Roman" w:hint="default"/>
        <w:b/>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F2639B0"/>
    <w:multiLevelType w:val="hybridMultilevel"/>
    <w:tmpl w:val="CE6488E0"/>
    <w:lvl w:ilvl="0" w:tplc="959E3516">
      <w:start w:val="1"/>
      <w:numFmt w:val="lowerLetter"/>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7FD8437F"/>
    <w:multiLevelType w:val="hybridMultilevel"/>
    <w:tmpl w:val="22CC58E6"/>
    <w:lvl w:ilvl="0" w:tplc="D7580C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2"/>
  </w:num>
  <w:num w:numId="2">
    <w:abstractNumId w:val="60"/>
  </w:num>
  <w:num w:numId="3">
    <w:abstractNumId w:val="9"/>
  </w:num>
  <w:num w:numId="4">
    <w:abstractNumId w:val="69"/>
  </w:num>
  <w:num w:numId="5">
    <w:abstractNumId w:val="57"/>
  </w:num>
  <w:num w:numId="6">
    <w:abstractNumId w:val="0"/>
  </w:num>
  <w:num w:numId="7">
    <w:abstractNumId w:val="40"/>
  </w:num>
  <w:num w:numId="8">
    <w:abstractNumId w:val="52"/>
  </w:num>
  <w:num w:numId="9">
    <w:abstractNumId w:val="91"/>
  </w:num>
  <w:num w:numId="10">
    <w:abstractNumId w:val="22"/>
  </w:num>
  <w:num w:numId="11">
    <w:abstractNumId w:val="47"/>
  </w:num>
  <w:num w:numId="12">
    <w:abstractNumId w:val="74"/>
  </w:num>
  <w:num w:numId="13">
    <w:abstractNumId w:val="4"/>
  </w:num>
  <w:num w:numId="14">
    <w:abstractNumId w:val="101"/>
  </w:num>
  <w:num w:numId="15">
    <w:abstractNumId w:val="14"/>
  </w:num>
  <w:num w:numId="16">
    <w:abstractNumId w:val="93"/>
  </w:num>
  <w:num w:numId="17">
    <w:abstractNumId w:val="21"/>
  </w:num>
  <w:num w:numId="18">
    <w:abstractNumId w:val="5"/>
  </w:num>
  <w:num w:numId="19">
    <w:abstractNumId w:val="92"/>
  </w:num>
  <w:num w:numId="20">
    <w:abstractNumId w:val="31"/>
  </w:num>
  <w:num w:numId="21">
    <w:abstractNumId w:val="98"/>
  </w:num>
  <w:num w:numId="22">
    <w:abstractNumId w:val="59"/>
  </w:num>
  <w:num w:numId="23">
    <w:abstractNumId w:val="104"/>
  </w:num>
  <w:num w:numId="24">
    <w:abstractNumId w:val="86"/>
  </w:num>
  <w:num w:numId="25">
    <w:abstractNumId w:val="88"/>
  </w:num>
  <w:num w:numId="26">
    <w:abstractNumId w:val="84"/>
  </w:num>
  <w:num w:numId="27">
    <w:abstractNumId w:val="83"/>
  </w:num>
  <w:num w:numId="28">
    <w:abstractNumId w:val="103"/>
  </w:num>
  <w:num w:numId="29">
    <w:abstractNumId w:val="26"/>
  </w:num>
  <w:num w:numId="30">
    <w:abstractNumId w:val="34"/>
  </w:num>
  <w:num w:numId="31">
    <w:abstractNumId w:val="2"/>
  </w:num>
  <w:num w:numId="32">
    <w:abstractNumId w:val="39"/>
  </w:num>
  <w:num w:numId="33">
    <w:abstractNumId w:val="28"/>
  </w:num>
  <w:num w:numId="34">
    <w:abstractNumId w:val="8"/>
  </w:num>
  <w:num w:numId="35">
    <w:abstractNumId w:val="99"/>
  </w:num>
  <w:num w:numId="36">
    <w:abstractNumId w:val="106"/>
  </w:num>
  <w:num w:numId="37">
    <w:abstractNumId w:val="81"/>
  </w:num>
  <w:num w:numId="38">
    <w:abstractNumId w:val="18"/>
  </w:num>
  <w:num w:numId="39">
    <w:abstractNumId w:val="29"/>
  </w:num>
  <w:num w:numId="40">
    <w:abstractNumId w:val="90"/>
  </w:num>
  <w:num w:numId="41">
    <w:abstractNumId w:val="10"/>
  </w:num>
  <w:num w:numId="42">
    <w:abstractNumId w:val="49"/>
  </w:num>
  <w:num w:numId="43">
    <w:abstractNumId w:val="95"/>
  </w:num>
  <w:num w:numId="44">
    <w:abstractNumId w:val="36"/>
  </w:num>
  <w:num w:numId="45">
    <w:abstractNumId w:val="107"/>
  </w:num>
  <w:num w:numId="46">
    <w:abstractNumId w:val="62"/>
  </w:num>
  <w:num w:numId="47">
    <w:abstractNumId w:val="78"/>
  </w:num>
  <w:num w:numId="48">
    <w:abstractNumId w:val="82"/>
  </w:num>
  <w:num w:numId="49">
    <w:abstractNumId w:val="46"/>
  </w:num>
  <w:num w:numId="50">
    <w:abstractNumId w:val="7"/>
  </w:num>
  <w:num w:numId="51">
    <w:abstractNumId w:val="38"/>
  </w:num>
  <w:num w:numId="52">
    <w:abstractNumId w:val="73"/>
  </w:num>
  <w:num w:numId="53">
    <w:abstractNumId w:val="87"/>
  </w:num>
  <w:num w:numId="54">
    <w:abstractNumId w:val="65"/>
  </w:num>
  <w:num w:numId="55">
    <w:abstractNumId w:val="13"/>
  </w:num>
  <w:num w:numId="56">
    <w:abstractNumId w:val="58"/>
  </w:num>
  <w:num w:numId="57">
    <w:abstractNumId w:val="43"/>
  </w:num>
  <w:num w:numId="58">
    <w:abstractNumId w:val="48"/>
  </w:num>
  <w:num w:numId="59">
    <w:abstractNumId w:val="68"/>
  </w:num>
  <w:num w:numId="60">
    <w:abstractNumId w:val="27"/>
  </w:num>
  <w:num w:numId="61">
    <w:abstractNumId w:val="89"/>
  </w:num>
  <w:num w:numId="62">
    <w:abstractNumId w:val="96"/>
  </w:num>
  <w:num w:numId="63">
    <w:abstractNumId w:val="55"/>
  </w:num>
  <w:num w:numId="64">
    <w:abstractNumId w:val="1"/>
  </w:num>
  <w:num w:numId="65">
    <w:abstractNumId w:val="30"/>
  </w:num>
  <w:num w:numId="66">
    <w:abstractNumId w:val="15"/>
  </w:num>
  <w:num w:numId="67">
    <w:abstractNumId w:val="24"/>
  </w:num>
  <w:num w:numId="68">
    <w:abstractNumId w:val="19"/>
  </w:num>
  <w:num w:numId="69">
    <w:abstractNumId w:val="66"/>
  </w:num>
  <w:num w:numId="70">
    <w:abstractNumId w:val="63"/>
  </w:num>
  <w:num w:numId="71">
    <w:abstractNumId w:val="45"/>
  </w:num>
  <w:num w:numId="72">
    <w:abstractNumId w:val="75"/>
  </w:num>
  <w:num w:numId="73">
    <w:abstractNumId w:val="67"/>
  </w:num>
  <w:num w:numId="74">
    <w:abstractNumId w:val="35"/>
  </w:num>
  <w:num w:numId="75">
    <w:abstractNumId w:val="70"/>
  </w:num>
  <w:num w:numId="76">
    <w:abstractNumId w:val="41"/>
  </w:num>
  <w:num w:numId="77">
    <w:abstractNumId w:val="3"/>
  </w:num>
  <w:num w:numId="78">
    <w:abstractNumId w:val="25"/>
  </w:num>
  <w:num w:numId="79">
    <w:abstractNumId w:val="97"/>
  </w:num>
  <w:num w:numId="80">
    <w:abstractNumId w:val="32"/>
  </w:num>
  <w:num w:numId="81">
    <w:abstractNumId w:val="16"/>
  </w:num>
  <w:num w:numId="82">
    <w:abstractNumId w:val="12"/>
  </w:num>
  <w:num w:numId="83">
    <w:abstractNumId w:val="11"/>
  </w:num>
  <w:num w:numId="84">
    <w:abstractNumId w:val="72"/>
  </w:num>
  <w:num w:numId="85">
    <w:abstractNumId w:val="61"/>
  </w:num>
  <w:num w:numId="86">
    <w:abstractNumId w:val="56"/>
  </w:num>
  <w:num w:numId="87">
    <w:abstractNumId w:val="80"/>
  </w:num>
  <w:num w:numId="88">
    <w:abstractNumId w:val="54"/>
  </w:num>
  <w:num w:numId="89">
    <w:abstractNumId w:val="71"/>
  </w:num>
  <w:num w:numId="90">
    <w:abstractNumId w:val="6"/>
  </w:num>
  <w:num w:numId="91">
    <w:abstractNumId w:val="33"/>
  </w:num>
  <w:num w:numId="92">
    <w:abstractNumId w:val="102"/>
  </w:num>
  <w:num w:numId="93">
    <w:abstractNumId w:val="53"/>
  </w:num>
  <w:num w:numId="94">
    <w:abstractNumId w:val="20"/>
  </w:num>
  <w:num w:numId="9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4"/>
  </w:num>
  <w:num w:numId="97">
    <w:abstractNumId w:val="105"/>
  </w:num>
  <w:num w:numId="98">
    <w:abstractNumId w:val="50"/>
  </w:num>
  <w:num w:numId="9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4"/>
  </w:num>
  <w:num w:numId="103">
    <w:abstractNumId w:val="79"/>
  </w:num>
  <w:num w:numId="104">
    <w:abstractNumId w:val="17"/>
  </w:num>
  <w:num w:numId="105">
    <w:abstractNumId w:val="77"/>
  </w:num>
  <w:num w:numId="106">
    <w:abstractNumId w:val="64"/>
  </w:num>
  <w:num w:numId="107">
    <w:abstractNumId w:val="100"/>
  </w:num>
  <w:num w:numId="108">
    <w:abstractNumId w:val="23"/>
  </w:num>
  <w:num w:numId="109">
    <w:abstractNumId w:val="3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482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50CA4"/>
    <w:rsid w:val="000552A9"/>
    <w:rsid w:val="000554B9"/>
    <w:rsid w:val="00060D93"/>
    <w:rsid w:val="00065D3D"/>
    <w:rsid w:val="00067A1D"/>
    <w:rsid w:val="0007172E"/>
    <w:rsid w:val="0008454F"/>
    <w:rsid w:val="0008519C"/>
    <w:rsid w:val="000905AE"/>
    <w:rsid w:val="00091029"/>
    <w:rsid w:val="00094E93"/>
    <w:rsid w:val="00097EFA"/>
    <w:rsid w:val="000A3614"/>
    <w:rsid w:val="000A7BE5"/>
    <w:rsid w:val="000B6156"/>
    <w:rsid w:val="000C4ABF"/>
    <w:rsid w:val="000C4C09"/>
    <w:rsid w:val="000D515A"/>
    <w:rsid w:val="000E08FB"/>
    <w:rsid w:val="000E220C"/>
    <w:rsid w:val="000E279C"/>
    <w:rsid w:val="000E6FE4"/>
    <w:rsid w:val="000F091B"/>
    <w:rsid w:val="000F486E"/>
    <w:rsid w:val="000F74DE"/>
    <w:rsid w:val="00104A90"/>
    <w:rsid w:val="00105BAC"/>
    <w:rsid w:val="00107385"/>
    <w:rsid w:val="00107849"/>
    <w:rsid w:val="001152D2"/>
    <w:rsid w:val="001154F6"/>
    <w:rsid w:val="00130CF5"/>
    <w:rsid w:val="001356F7"/>
    <w:rsid w:val="00135BCE"/>
    <w:rsid w:val="00136752"/>
    <w:rsid w:val="00142E54"/>
    <w:rsid w:val="00154B9E"/>
    <w:rsid w:val="001628A8"/>
    <w:rsid w:val="00175AB5"/>
    <w:rsid w:val="0017601D"/>
    <w:rsid w:val="00180EF2"/>
    <w:rsid w:val="001903A9"/>
    <w:rsid w:val="00195BB6"/>
    <w:rsid w:val="001A012B"/>
    <w:rsid w:val="001A543A"/>
    <w:rsid w:val="001A6BD7"/>
    <w:rsid w:val="001D43F6"/>
    <w:rsid w:val="001E46FC"/>
    <w:rsid w:val="00201A34"/>
    <w:rsid w:val="002020AB"/>
    <w:rsid w:val="002062FB"/>
    <w:rsid w:val="00212FE8"/>
    <w:rsid w:val="00224D77"/>
    <w:rsid w:val="0023588C"/>
    <w:rsid w:val="002367B2"/>
    <w:rsid w:val="00237FD2"/>
    <w:rsid w:val="002403D3"/>
    <w:rsid w:val="00241ED4"/>
    <w:rsid w:val="00262BE9"/>
    <w:rsid w:val="00285D32"/>
    <w:rsid w:val="00287C2D"/>
    <w:rsid w:val="00296F0E"/>
    <w:rsid w:val="002A0FC3"/>
    <w:rsid w:val="002B1F05"/>
    <w:rsid w:val="002C29EA"/>
    <w:rsid w:val="002C32CC"/>
    <w:rsid w:val="002C3AA5"/>
    <w:rsid w:val="002C5F32"/>
    <w:rsid w:val="002C6C85"/>
    <w:rsid w:val="002D4327"/>
    <w:rsid w:val="002E2414"/>
    <w:rsid w:val="002E49C7"/>
    <w:rsid w:val="002E61AB"/>
    <w:rsid w:val="00302FB3"/>
    <w:rsid w:val="003033CE"/>
    <w:rsid w:val="00303BD3"/>
    <w:rsid w:val="00311C2E"/>
    <w:rsid w:val="00313943"/>
    <w:rsid w:val="00320696"/>
    <w:rsid w:val="00334BE8"/>
    <w:rsid w:val="00337788"/>
    <w:rsid w:val="0034625E"/>
    <w:rsid w:val="00346EFE"/>
    <w:rsid w:val="00350A89"/>
    <w:rsid w:val="00351A66"/>
    <w:rsid w:val="00360F04"/>
    <w:rsid w:val="00373005"/>
    <w:rsid w:val="00375C62"/>
    <w:rsid w:val="003944C8"/>
    <w:rsid w:val="003A056C"/>
    <w:rsid w:val="003A2876"/>
    <w:rsid w:val="003A786A"/>
    <w:rsid w:val="003B0390"/>
    <w:rsid w:val="003B271E"/>
    <w:rsid w:val="003B3BF2"/>
    <w:rsid w:val="003B64B2"/>
    <w:rsid w:val="003B6C60"/>
    <w:rsid w:val="003C6E0C"/>
    <w:rsid w:val="003D49F1"/>
    <w:rsid w:val="003D6B9F"/>
    <w:rsid w:val="003E1AC9"/>
    <w:rsid w:val="003E51A0"/>
    <w:rsid w:val="004036E2"/>
    <w:rsid w:val="00404F80"/>
    <w:rsid w:val="00410CB4"/>
    <w:rsid w:val="004140A9"/>
    <w:rsid w:val="004145D8"/>
    <w:rsid w:val="0041652B"/>
    <w:rsid w:val="004222B6"/>
    <w:rsid w:val="00434028"/>
    <w:rsid w:val="00457342"/>
    <w:rsid w:val="00470681"/>
    <w:rsid w:val="0047196E"/>
    <w:rsid w:val="00472C59"/>
    <w:rsid w:val="00474578"/>
    <w:rsid w:val="00475450"/>
    <w:rsid w:val="004839BF"/>
    <w:rsid w:val="004B5457"/>
    <w:rsid w:val="004C0EB9"/>
    <w:rsid w:val="004C5B64"/>
    <w:rsid w:val="004C68C3"/>
    <w:rsid w:val="004E0100"/>
    <w:rsid w:val="004E1AC5"/>
    <w:rsid w:val="004E561B"/>
    <w:rsid w:val="004E7873"/>
    <w:rsid w:val="004F272C"/>
    <w:rsid w:val="005055D4"/>
    <w:rsid w:val="00517142"/>
    <w:rsid w:val="005178AF"/>
    <w:rsid w:val="00520C8A"/>
    <w:rsid w:val="00531BFC"/>
    <w:rsid w:val="0053445F"/>
    <w:rsid w:val="00543CB4"/>
    <w:rsid w:val="005525DE"/>
    <w:rsid w:val="00565ED9"/>
    <w:rsid w:val="0057507D"/>
    <w:rsid w:val="00577FA4"/>
    <w:rsid w:val="0058126B"/>
    <w:rsid w:val="00592B5B"/>
    <w:rsid w:val="005967DB"/>
    <w:rsid w:val="00597CED"/>
    <w:rsid w:val="005A0360"/>
    <w:rsid w:val="005C14A9"/>
    <w:rsid w:val="005E030C"/>
    <w:rsid w:val="005E258B"/>
    <w:rsid w:val="005F01AB"/>
    <w:rsid w:val="005F1A65"/>
    <w:rsid w:val="005F49A2"/>
    <w:rsid w:val="005F6412"/>
    <w:rsid w:val="0060439F"/>
    <w:rsid w:val="006267E3"/>
    <w:rsid w:val="00637766"/>
    <w:rsid w:val="006415CB"/>
    <w:rsid w:val="006475B9"/>
    <w:rsid w:val="00662055"/>
    <w:rsid w:val="00666BB7"/>
    <w:rsid w:val="0067118D"/>
    <w:rsid w:val="00672C8B"/>
    <w:rsid w:val="00673418"/>
    <w:rsid w:val="006764F6"/>
    <w:rsid w:val="00680290"/>
    <w:rsid w:val="00682DC1"/>
    <w:rsid w:val="00685B23"/>
    <w:rsid w:val="00692F44"/>
    <w:rsid w:val="00695DAF"/>
    <w:rsid w:val="006A2B1B"/>
    <w:rsid w:val="006A46D3"/>
    <w:rsid w:val="006B71AB"/>
    <w:rsid w:val="006C27F9"/>
    <w:rsid w:val="006C625D"/>
    <w:rsid w:val="006D7B49"/>
    <w:rsid w:val="006E3601"/>
    <w:rsid w:val="006E3628"/>
    <w:rsid w:val="006E608D"/>
    <w:rsid w:val="006F4B83"/>
    <w:rsid w:val="00714B7F"/>
    <w:rsid w:val="00716246"/>
    <w:rsid w:val="0072626F"/>
    <w:rsid w:val="007277D4"/>
    <w:rsid w:val="007313C9"/>
    <w:rsid w:val="00736875"/>
    <w:rsid w:val="00737720"/>
    <w:rsid w:val="00757B5E"/>
    <w:rsid w:val="00760F04"/>
    <w:rsid w:val="00761240"/>
    <w:rsid w:val="00770A31"/>
    <w:rsid w:val="0078656C"/>
    <w:rsid w:val="007B5BF7"/>
    <w:rsid w:val="007E227F"/>
    <w:rsid w:val="007E330B"/>
    <w:rsid w:val="007E5F48"/>
    <w:rsid w:val="007F018F"/>
    <w:rsid w:val="007F0476"/>
    <w:rsid w:val="007F0EFF"/>
    <w:rsid w:val="007F3DC2"/>
    <w:rsid w:val="007F6193"/>
    <w:rsid w:val="008200E1"/>
    <w:rsid w:val="00825B87"/>
    <w:rsid w:val="00826D62"/>
    <w:rsid w:val="008413BA"/>
    <w:rsid w:val="00841C34"/>
    <w:rsid w:val="008524F6"/>
    <w:rsid w:val="008570ED"/>
    <w:rsid w:val="00860021"/>
    <w:rsid w:val="00862A99"/>
    <w:rsid w:val="00875974"/>
    <w:rsid w:val="008873DF"/>
    <w:rsid w:val="008876D6"/>
    <w:rsid w:val="00895CDB"/>
    <w:rsid w:val="00896BAE"/>
    <w:rsid w:val="008A4144"/>
    <w:rsid w:val="008A76C6"/>
    <w:rsid w:val="008C669C"/>
    <w:rsid w:val="008C722A"/>
    <w:rsid w:val="008D5866"/>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537F6"/>
    <w:rsid w:val="00956930"/>
    <w:rsid w:val="009609EA"/>
    <w:rsid w:val="009622AF"/>
    <w:rsid w:val="00962A28"/>
    <w:rsid w:val="00973B47"/>
    <w:rsid w:val="009746B2"/>
    <w:rsid w:val="00975057"/>
    <w:rsid w:val="0097531D"/>
    <w:rsid w:val="00975804"/>
    <w:rsid w:val="009A37B2"/>
    <w:rsid w:val="009A64C4"/>
    <w:rsid w:val="009C4E7E"/>
    <w:rsid w:val="009C5390"/>
    <w:rsid w:val="009C73A1"/>
    <w:rsid w:val="009D2F2D"/>
    <w:rsid w:val="009D423D"/>
    <w:rsid w:val="009D589A"/>
    <w:rsid w:val="009D7C61"/>
    <w:rsid w:val="009F16AF"/>
    <w:rsid w:val="009F3614"/>
    <w:rsid w:val="009F3776"/>
    <w:rsid w:val="00A17F57"/>
    <w:rsid w:val="00A237FB"/>
    <w:rsid w:val="00A24D2E"/>
    <w:rsid w:val="00A31C4B"/>
    <w:rsid w:val="00A5551F"/>
    <w:rsid w:val="00A57662"/>
    <w:rsid w:val="00A60BFB"/>
    <w:rsid w:val="00A61847"/>
    <w:rsid w:val="00A8180D"/>
    <w:rsid w:val="00A84B14"/>
    <w:rsid w:val="00A86331"/>
    <w:rsid w:val="00A910E5"/>
    <w:rsid w:val="00A94CB2"/>
    <w:rsid w:val="00A95353"/>
    <w:rsid w:val="00AA3E74"/>
    <w:rsid w:val="00AA4348"/>
    <w:rsid w:val="00AB1BD6"/>
    <w:rsid w:val="00AB1D8A"/>
    <w:rsid w:val="00AB5539"/>
    <w:rsid w:val="00AC0FF0"/>
    <w:rsid w:val="00AC1A39"/>
    <w:rsid w:val="00AC233F"/>
    <w:rsid w:val="00AC3A51"/>
    <w:rsid w:val="00AC445D"/>
    <w:rsid w:val="00AD3204"/>
    <w:rsid w:val="00AE14FE"/>
    <w:rsid w:val="00AE7C88"/>
    <w:rsid w:val="00AF21BB"/>
    <w:rsid w:val="00AF5AAE"/>
    <w:rsid w:val="00B06186"/>
    <w:rsid w:val="00B10B7E"/>
    <w:rsid w:val="00B124B7"/>
    <w:rsid w:val="00B12DC7"/>
    <w:rsid w:val="00B15B2C"/>
    <w:rsid w:val="00B2321A"/>
    <w:rsid w:val="00B46FEC"/>
    <w:rsid w:val="00B475BB"/>
    <w:rsid w:val="00B5179A"/>
    <w:rsid w:val="00B643E1"/>
    <w:rsid w:val="00B657B6"/>
    <w:rsid w:val="00B70D51"/>
    <w:rsid w:val="00B72340"/>
    <w:rsid w:val="00B77FAC"/>
    <w:rsid w:val="00B807C4"/>
    <w:rsid w:val="00B8748E"/>
    <w:rsid w:val="00BA2972"/>
    <w:rsid w:val="00BA5B55"/>
    <w:rsid w:val="00BA5BDC"/>
    <w:rsid w:val="00BA71D8"/>
    <w:rsid w:val="00BB798D"/>
    <w:rsid w:val="00BF2A47"/>
    <w:rsid w:val="00BF65DA"/>
    <w:rsid w:val="00BF67A2"/>
    <w:rsid w:val="00C012AC"/>
    <w:rsid w:val="00C02A65"/>
    <w:rsid w:val="00C02FD1"/>
    <w:rsid w:val="00C14504"/>
    <w:rsid w:val="00C14FE9"/>
    <w:rsid w:val="00C16D46"/>
    <w:rsid w:val="00C23E02"/>
    <w:rsid w:val="00C26E64"/>
    <w:rsid w:val="00C26F15"/>
    <w:rsid w:val="00C302E0"/>
    <w:rsid w:val="00C44505"/>
    <w:rsid w:val="00C5155E"/>
    <w:rsid w:val="00C63B15"/>
    <w:rsid w:val="00C63FF3"/>
    <w:rsid w:val="00C65C0C"/>
    <w:rsid w:val="00C708A5"/>
    <w:rsid w:val="00C708DE"/>
    <w:rsid w:val="00C73FF4"/>
    <w:rsid w:val="00C76A61"/>
    <w:rsid w:val="00C83D4A"/>
    <w:rsid w:val="00C85D82"/>
    <w:rsid w:val="00C9675F"/>
    <w:rsid w:val="00CA46A3"/>
    <w:rsid w:val="00CB1833"/>
    <w:rsid w:val="00CB423F"/>
    <w:rsid w:val="00CB7992"/>
    <w:rsid w:val="00CC6C34"/>
    <w:rsid w:val="00CD2133"/>
    <w:rsid w:val="00CD30E4"/>
    <w:rsid w:val="00CD46DF"/>
    <w:rsid w:val="00CD4A6E"/>
    <w:rsid w:val="00CD79D7"/>
    <w:rsid w:val="00CE3E1B"/>
    <w:rsid w:val="00CE695F"/>
    <w:rsid w:val="00CE7B5B"/>
    <w:rsid w:val="00CF5922"/>
    <w:rsid w:val="00D05153"/>
    <w:rsid w:val="00D10365"/>
    <w:rsid w:val="00D2358E"/>
    <w:rsid w:val="00D31F34"/>
    <w:rsid w:val="00D33AB2"/>
    <w:rsid w:val="00D33B1E"/>
    <w:rsid w:val="00D35A40"/>
    <w:rsid w:val="00D52E11"/>
    <w:rsid w:val="00D61CA6"/>
    <w:rsid w:val="00D76630"/>
    <w:rsid w:val="00D81127"/>
    <w:rsid w:val="00D94144"/>
    <w:rsid w:val="00D94C67"/>
    <w:rsid w:val="00DA0082"/>
    <w:rsid w:val="00DA381E"/>
    <w:rsid w:val="00DB5544"/>
    <w:rsid w:val="00DB5688"/>
    <w:rsid w:val="00DC0471"/>
    <w:rsid w:val="00DC0577"/>
    <w:rsid w:val="00DD00B6"/>
    <w:rsid w:val="00DD6725"/>
    <w:rsid w:val="00DE070C"/>
    <w:rsid w:val="00DE3976"/>
    <w:rsid w:val="00DE7640"/>
    <w:rsid w:val="00E116A5"/>
    <w:rsid w:val="00E1635C"/>
    <w:rsid w:val="00E2295A"/>
    <w:rsid w:val="00E27EDC"/>
    <w:rsid w:val="00E3411C"/>
    <w:rsid w:val="00E3555F"/>
    <w:rsid w:val="00E377C1"/>
    <w:rsid w:val="00E41440"/>
    <w:rsid w:val="00E53AA3"/>
    <w:rsid w:val="00E60B1F"/>
    <w:rsid w:val="00E622A6"/>
    <w:rsid w:val="00E74308"/>
    <w:rsid w:val="00E81556"/>
    <w:rsid w:val="00E83177"/>
    <w:rsid w:val="00E834BD"/>
    <w:rsid w:val="00E964E6"/>
    <w:rsid w:val="00EA113F"/>
    <w:rsid w:val="00EA1DBC"/>
    <w:rsid w:val="00EB663F"/>
    <w:rsid w:val="00EB7E4F"/>
    <w:rsid w:val="00EC59C3"/>
    <w:rsid w:val="00ED3413"/>
    <w:rsid w:val="00ED5712"/>
    <w:rsid w:val="00EF0FE9"/>
    <w:rsid w:val="00EF49A1"/>
    <w:rsid w:val="00EF5956"/>
    <w:rsid w:val="00EF7AE3"/>
    <w:rsid w:val="00F00468"/>
    <w:rsid w:val="00F04A72"/>
    <w:rsid w:val="00F27592"/>
    <w:rsid w:val="00F338F5"/>
    <w:rsid w:val="00F344EF"/>
    <w:rsid w:val="00F40F40"/>
    <w:rsid w:val="00F4128E"/>
    <w:rsid w:val="00F4449C"/>
    <w:rsid w:val="00F57C83"/>
    <w:rsid w:val="00F637B0"/>
    <w:rsid w:val="00F6587D"/>
    <w:rsid w:val="00F724C2"/>
    <w:rsid w:val="00F84335"/>
    <w:rsid w:val="00F93C61"/>
    <w:rsid w:val="00F93D64"/>
    <w:rsid w:val="00F97A05"/>
    <w:rsid w:val="00FA7F3F"/>
    <w:rsid w:val="00FB4521"/>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20"/>
    <o:shapelayout v:ext="edit">
      <o:idmap v:ext="edit" data="1"/>
    </o:shapelayout>
  </w:shapeDefaults>
  <w:decimalSymbol w:val="."/>
  <w:listSeparator w:val=","/>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1356F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A17F57"/>
    <w:pPr>
      <w:keepNext/>
      <w:keepLines/>
      <w:spacing w:before="40"/>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rsid w:val="00597CED"/>
    <w:rPr>
      <w:sz w:val="16"/>
      <w:szCs w:val="16"/>
    </w:rPr>
  </w:style>
  <w:style w:type="paragraph" w:styleId="CommentText">
    <w:name w:val="annotation text"/>
    <w:basedOn w:val="Normal"/>
    <w:link w:val="CommentTextChar"/>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1356F7"/>
    <w:rPr>
      <w:rFonts w:asciiTheme="majorHAnsi" w:eastAsiaTheme="majorEastAsia" w:hAnsiTheme="majorHAnsi" w:cstheme="majorBidi"/>
      <w:color w:val="365F91" w:themeColor="accent1" w:themeShade="BF"/>
      <w:sz w:val="26"/>
      <w:szCs w:val="26"/>
    </w:rPr>
  </w:style>
  <w:style w:type="character" w:customStyle="1" w:styleId="CommentTextChar">
    <w:name w:val="Comment Text Char"/>
    <w:basedOn w:val="DefaultParagraphFont"/>
    <w:link w:val="CommentText"/>
    <w:rsid w:val="001356F7"/>
  </w:style>
  <w:style w:type="character" w:customStyle="1" w:styleId="Heading5Char">
    <w:name w:val="Heading 5 Char"/>
    <w:basedOn w:val="DefaultParagraphFont"/>
    <w:link w:val="Heading5"/>
    <w:semiHidden/>
    <w:rsid w:val="00A17F57"/>
    <w:rPr>
      <w:rFonts w:asciiTheme="majorHAnsi" w:eastAsiaTheme="majorEastAsia" w:hAnsiTheme="majorHAnsi" w:cstheme="majorBidi"/>
      <w:color w:val="365F91" w:themeColor="accent1" w:themeShade="BF"/>
    </w:rPr>
  </w:style>
  <w:style w:type="character" w:styleId="Hyperlink">
    <w:name w:val="Hyperlink"/>
    <w:basedOn w:val="DefaultParagraphFont"/>
    <w:rsid w:val="000E6FE4"/>
    <w:rPr>
      <w:color w:val="0000FF"/>
      <w:u w:val="single"/>
    </w:rPr>
  </w:style>
  <w:style w:type="character" w:styleId="FollowedHyperlink">
    <w:name w:val="FollowedHyperlink"/>
    <w:basedOn w:val="DefaultParagraphFont"/>
    <w:semiHidden/>
    <w:unhideWhenUsed/>
    <w:rsid w:val="000E6F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352808">
      <w:bodyDiv w:val="1"/>
      <w:marLeft w:val="0"/>
      <w:marRight w:val="0"/>
      <w:marTop w:val="0"/>
      <w:marBottom w:val="0"/>
      <w:divBdr>
        <w:top w:val="none" w:sz="0" w:space="0" w:color="auto"/>
        <w:left w:val="none" w:sz="0" w:space="0" w:color="auto"/>
        <w:bottom w:val="none" w:sz="0" w:space="0" w:color="auto"/>
        <w:right w:val="none" w:sz="0" w:space="0" w:color="auto"/>
      </w:divBdr>
    </w:div>
    <w:div w:id="1354845594">
      <w:bodyDiv w:val="1"/>
      <w:marLeft w:val="0"/>
      <w:marRight w:val="0"/>
      <w:marTop w:val="0"/>
      <w:marBottom w:val="0"/>
      <w:divBdr>
        <w:top w:val="none" w:sz="0" w:space="0" w:color="auto"/>
        <w:left w:val="none" w:sz="0" w:space="0" w:color="auto"/>
        <w:bottom w:val="none" w:sz="0" w:space="0" w:color="auto"/>
        <w:right w:val="none" w:sz="0" w:space="0" w:color="auto"/>
      </w:divBdr>
    </w:div>
    <w:div w:id="1383939581">
      <w:bodyDiv w:val="1"/>
      <w:marLeft w:val="0"/>
      <w:marRight w:val="0"/>
      <w:marTop w:val="0"/>
      <w:marBottom w:val="0"/>
      <w:divBdr>
        <w:top w:val="none" w:sz="0" w:space="0" w:color="auto"/>
        <w:left w:val="none" w:sz="0" w:space="0" w:color="auto"/>
        <w:bottom w:val="none" w:sz="0" w:space="0" w:color="auto"/>
        <w:right w:val="none" w:sz="0" w:space="0" w:color="auto"/>
      </w:divBdr>
    </w:div>
    <w:div w:id="1744401894">
      <w:bodyDiv w:val="1"/>
      <w:marLeft w:val="0"/>
      <w:marRight w:val="0"/>
      <w:marTop w:val="0"/>
      <w:marBottom w:val="0"/>
      <w:divBdr>
        <w:top w:val="none" w:sz="0" w:space="0" w:color="auto"/>
        <w:left w:val="none" w:sz="0" w:space="0" w:color="auto"/>
        <w:bottom w:val="none" w:sz="0" w:space="0" w:color="auto"/>
        <w:right w:val="none" w:sz="0" w:space="0" w:color="auto"/>
      </w:divBdr>
    </w:div>
    <w:div w:id="1889027819">
      <w:bodyDiv w:val="1"/>
      <w:marLeft w:val="0"/>
      <w:marRight w:val="0"/>
      <w:marTop w:val="0"/>
      <w:marBottom w:val="0"/>
      <w:divBdr>
        <w:top w:val="none" w:sz="0" w:space="0" w:color="auto"/>
        <w:left w:val="none" w:sz="0" w:space="0" w:color="auto"/>
        <w:bottom w:val="none" w:sz="0" w:space="0" w:color="auto"/>
        <w:right w:val="none" w:sz="0" w:space="0" w:color="auto"/>
      </w:divBdr>
    </w:div>
    <w:div w:id="1991247179">
      <w:bodyDiv w:val="1"/>
      <w:marLeft w:val="0"/>
      <w:marRight w:val="0"/>
      <w:marTop w:val="0"/>
      <w:marBottom w:val="0"/>
      <w:divBdr>
        <w:top w:val="none" w:sz="0" w:space="0" w:color="auto"/>
        <w:left w:val="none" w:sz="0" w:space="0" w:color="auto"/>
        <w:bottom w:val="none" w:sz="0" w:space="0" w:color="auto"/>
        <w:right w:val="none" w:sz="0" w:space="0" w:color="auto"/>
      </w:divBdr>
    </w:div>
    <w:div w:id="208621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cfr.gov/cgi-bin/text-idx?c=ecfr;rgn=div6;view=text;node=40%3A14.0.1.1.1.1;idno=40;sid=e94dcfde4a04b27290c445a56e635e58;cc=ec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cfr.gov/cgi-bin/text-idx?c=ecfr&amp;rgn=div6&amp;view=text&amp;node=40:10.0.1.1.1.1&amp;idno=40" TargetMode="External"/><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9F699-BDC6-435A-9643-52E9FD63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42</Pages>
  <Words>20296</Words>
  <Characters>126248</Characters>
  <Application>Microsoft Office Word</Application>
  <DocSecurity>0</DocSecurity>
  <Lines>2427</Lines>
  <Paragraphs>1252</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145292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29</cp:revision>
  <cp:lastPrinted>2009-09-16T17:21:00Z</cp:lastPrinted>
  <dcterms:created xsi:type="dcterms:W3CDTF">2018-07-18T16:04:00Z</dcterms:created>
  <dcterms:modified xsi:type="dcterms:W3CDTF">2018-09-18T11:56:00Z</dcterms:modified>
</cp:coreProperties>
</file>